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8B2D2" w14:textId="77777777" w:rsidR="00917760" w:rsidRPr="001D3F98" w:rsidRDefault="00917760" w:rsidP="00917760">
      <w:pPr>
        <w:spacing w:before="360" w:after="0"/>
        <w:rPr>
          <w:rFonts w:ascii="Palatino Linotype" w:eastAsia="Times New Roman" w:hAnsi="Palatino Linotype" w:cs="Times New Roman"/>
          <w:b/>
          <w:bCs/>
          <w:sz w:val="28"/>
          <w:szCs w:val="28"/>
          <w:lang w:val="en-ID"/>
        </w:rPr>
      </w:pPr>
      <w:r w:rsidRPr="00993B04">
        <w:rPr>
          <w:rFonts w:ascii="Palatino Linotype" w:eastAsia="Times New Roman" w:hAnsi="Palatino Linotype" w:cs="Times New Roman"/>
          <w:b/>
          <w:bCs/>
          <w:sz w:val="28"/>
          <w:szCs w:val="28"/>
          <w:lang w:val="en-ID"/>
        </w:rPr>
        <w:t>Implementation of the SERVQUAL Method in Evaluating the Quality of Welding Inspector Comprehensive Training Services at the Shipbuilding Institute of Polytechnic Surabaya</w:t>
      </w:r>
    </w:p>
    <w:p w14:paraId="2C80D671" w14:textId="77777777" w:rsidR="00917760" w:rsidRPr="001D3F98" w:rsidRDefault="00917760" w:rsidP="00917760">
      <w:pPr>
        <w:spacing w:after="0"/>
        <w:rPr>
          <w:rFonts w:ascii="Palatino Linotype" w:eastAsia="Cambria" w:hAnsi="Palatino Linotype" w:cs="Times New Roman"/>
          <w:sz w:val="24"/>
          <w:szCs w:val="24"/>
          <w:lang w:val="en-ID"/>
        </w:rPr>
      </w:pPr>
    </w:p>
    <w:p w14:paraId="65AF70B6" w14:textId="77777777" w:rsidR="00917760" w:rsidRPr="005608A2" w:rsidRDefault="00917760" w:rsidP="00917760">
      <w:pPr>
        <w:spacing w:after="0" w:line="276" w:lineRule="auto"/>
        <w:rPr>
          <w:rFonts w:ascii="Palatino Linotype" w:eastAsia="Times New Roman" w:hAnsi="Palatino Linotype" w:cs="Times New Roman"/>
          <w:color w:val="000000" w:themeColor="text1"/>
          <w:sz w:val="19"/>
          <w:szCs w:val="19"/>
          <w:lang w:val="en-ID"/>
        </w:rPr>
      </w:pPr>
      <w:r w:rsidRPr="005608A2">
        <w:rPr>
          <w:rFonts w:ascii="Palatino Linotype" w:eastAsia="Times New Roman" w:hAnsi="Palatino Linotype" w:cs="Times New Roman"/>
          <w:color w:val="000000" w:themeColor="text1"/>
          <w:sz w:val="24"/>
          <w:szCs w:val="24"/>
          <w:lang w:val="id-ID"/>
        </w:rPr>
        <w:t>Wibowo Arninputranto¹*, Danis Maulana¹, Mades Darul Khariansyah¹, Aditya Maharani¹</w:t>
      </w:r>
    </w:p>
    <w:p w14:paraId="1683D0C9" w14:textId="77777777" w:rsidR="00917760" w:rsidRPr="005608A2" w:rsidRDefault="00917760" w:rsidP="00917760">
      <w:pPr>
        <w:spacing w:after="0" w:line="360" w:lineRule="auto"/>
        <w:ind w:left="90" w:right="263" w:hanging="90"/>
        <w:rPr>
          <w:rFonts w:ascii="Palatino Linotype" w:eastAsia="Times New Roman" w:hAnsi="Palatino Linotype" w:cs="Times New Roman"/>
          <w:color w:val="000000" w:themeColor="text1"/>
          <w:sz w:val="16"/>
          <w:szCs w:val="16"/>
          <w:lang w:val="en-ID"/>
        </w:rPr>
      </w:pPr>
    </w:p>
    <w:p w14:paraId="59ED5A40" w14:textId="3184251A" w:rsidR="00DF3020" w:rsidRPr="00260B4F" w:rsidRDefault="00917760" w:rsidP="00917760">
      <w:pPr>
        <w:spacing w:after="0"/>
        <w:jc w:val="both"/>
        <w:rPr>
          <w:rFonts w:ascii="Palatino Linotype" w:eastAsia="Times New Roman" w:hAnsi="Palatino Linotype" w:cs="Times New Roman"/>
          <w:color w:val="000000" w:themeColor="text1"/>
          <w:lang w:val="en-ID"/>
        </w:rPr>
      </w:pPr>
      <w:r w:rsidRPr="00260B4F">
        <w:rPr>
          <w:rFonts w:ascii="Palatino Linotype" w:eastAsia="Times New Roman" w:hAnsi="Palatino Linotype" w:cs="Times New Roman"/>
          <w:color w:val="000000" w:themeColor="text1"/>
          <w:vertAlign w:val="superscript"/>
          <w:lang w:val="en-ID"/>
        </w:rPr>
        <w:t>1</w:t>
      </w:r>
      <w:r w:rsidR="007D6724" w:rsidRPr="00260B4F">
        <w:rPr>
          <w:rFonts w:ascii="Palatino Linotype" w:eastAsia="Times New Roman" w:hAnsi="Palatino Linotype" w:cs="Times New Roman"/>
          <w:color w:val="000000" w:themeColor="text1"/>
          <w:vertAlign w:val="superscript"/>
          <w:lang w:val="en-ID"/>
        </w:rPr>
        <w:t xml:space="preserve"> </w:t>
      </w:r>
      <w:r w:rsidRPr="00260B4F">
        <w:rPr>
          <w:rFonts w:ascii="Palatino Linotype" w:eastAsia="Times New Roman" w:hAnsi="Palatino Linotype" w:cs="Times New Roman"/>
          <w:color w:val="000000" w:themeColor="text1"/>
          <w:lang w:val="en-ID"/>
        </w:rPr>
        <w:t>Shipbuilding Institute of Polytechnic Surabaya, Surabaya, Indonesia.</w:t>
      </w:r>
      <w:r w:rsidR="00E7349D" w:rsidRPr="00260B4F">
        <w:rPr>
          <w:rFonts w:ascii="Palatino Linotype" w:eastAsia="Times New Roman" w:hAnsi="Palatino Linotype" w:cs="Times New Roman"/>
          <w:color w:val="000000" w:themeColor="text1"/>
          <w:lang w:val="en-ID"/>
        </w:rPr>
        <w:t xml:space="preserve"> </w:t>
      </w:r>
    </w:p>
    <w:p w14:paraId="01AC420A" w14:textId="77777777" w:rsidR="00E05D5C" w:rsidRPr="001D3F98" w:rsidRDefault="00E05D5C">
      <w:pPr>
        <w:jc w:val="both"/>
        <w:rPr>
          <w:rFonts w:ascii="Palatino Linotype" w:eastAsia="Times New Roman" w:hAnsi="Palatino Linotype" w:cs="Times New Roman"/>
          <w:b/>
          <w:bCs/>
        </w:rPr>
      </w:pPr>
    </w:p>
    <w:p w14:paraId="486E259E" w14:textId="77777777" w:rsidR="00DF3020" w:rsidRPr="001D3F98" w:rsidRDefault="00E7349D" w:rsidP="005F0355">
      <w:pPr>
        <w:jc w:val="both"/>
        <w:rPr>
          <w:rFonts w:ascii="Palatino Linotype" w:hAnsi="Palatino Linotype"/>
        </w:rPr>
      </w:pPr>
      <w:r w:rsidRPr="001D3F98">
        <w:rPr>
          <w:rFonts w:ascii="Palatino Linotype" w:eastAsia="Times New Roman" w:hAnsi="Palatino Linotype" w:cs="Times New Roman"/>
          <w:b/>
          <w:bCs/>
        </w:rPr>
        <w:t>Abstract.</w:t>
      </w:r>
      <w:r w:rsidRPr="001D3F98">
        <w:rPr>
          <w:rFonts w:ascii="Palatino Linotype" w:eastAsia="Times New Roman" w:hAnsi="Palatino Linotype" w:cs="Times New Roman"/>
        </w:rPr>
        <w:t xml:space="preserve"> </w:t>
      </w:r>
      <w:r w:rsidR="005F0355" w:rsidRPr="005F0355">
        <w:rPr>
          <w:rFonts w:ascii="Palatino Linotype" w:eastAsia="Times New Roman" w:hAnsi="Palatino Linotype" w:cs="Times New Roman"/>
        </w:rPr>
        <w:t xml:space="preserve">The quality of welding inspection competency training is essential to ensure that participants receive services that support the achievement of professional competencies required by industry. This community service activity aimed to evaluate the quality of services provided in the Welding Inspector Comprehensive Training and Certification Program at the </w:t>
      </w:r>
      <w:r w:rsidR="009D2118" w:rsidRPr="009D2118">
        <w:rPr>
          <w:rFonts w:ascii="Palatino Linotype" w:eastAsia="Times New Roman" w:hAnsi="Palatino Linotype" w:cs="Times New Roman"/>
        </w:rPr>
        <w:t xml:space="preserve">Shipbuilding Institute of Polytechnic Surabaya </w:t>
      </w:r>
      <w:r w:rsidR="005F0355" w:rsidRPr="005F0355">
        <w:rPr>
          <w:rFonts w:ascii="Palatino Linotype" w:eastAsia="Times New Roman" w:hAnsi="Palatino Linotype" w:cs="Times New Roman"/>
        </w:rPr>
        <w:t>(PPNS) and to identify priority areas for service improvement. The evaluation involved 50 respondents and 20 service attributes representing five dimensions of service quality: tangibles, reliability, responsiveness, assurance, and empathy. Data were collected using a five-point Likert-scale questionnaire measuring participants' expectations and perceptions. Service quality was evaluated using the Service Quality (SERVQUAL) method, service conformity analysis, and an expectation–performance matrix based on the Importance–Performance Analysis (IPA) framework. The results showed an overall SERVQUAL gap of -0.645 and a service conformity level of 86.26%, indicating that the services provided had not fully met participants' expectations. All 20 attributes showed negative service quality gaps. The expectation–performance analysis identified A3 and A9 as the primary priorities for improvement, while A15 recorded the largest service quality gap (-0.84) and the lowest conformity level (81.97%). These findings provide evidence-based feedback for PPNS to improve priority service attributes and maintain aspects that already perform well. The evaluation approach can support continuous improvement of vocational training and professional certification services.</w:t>
      </w:r>
      <w:r w:rsidRPr="001D3F98">
        <w:rPr>
          <w:rFonts w:ascii="Palatino Linotype" w:eastAsia="Times New Roman" w:hAnsi="Palatino Linotype" w:cs="Times New Roman"/>
        </w:rPr>
        <w:t xml:space="preserve"> </w:t>
      </w:r>
    </w:p>
    <w:p w14:paraId="44A5E9C7" w14:textId="77777777" w:rsidR="00DF3020" w:rsidRPr="001D3F98" w:rsidRDefault="00E7349D">
      <w:pPr>
        <w:rPr>
          <w:rFonts w:ascii="Palatino Linotype" w:hAnsi="Palatino Linotype" w:cs="Times New Roman"/>
        </w:rPr>
      </w:pPr>
      <w:r w:rsidRPr="001D3F98">
        <w:rPr>
          <w:rFonts w:ascii="Palatino Linotype" w:hAnsi="Palatino Linotype" w:cs="Times New Roman"/>
        </w:rPr>
        <w:t xml:space="preserve"> </w:t>
      </w:r>
    </w:p>
    <w:p w14:paraId="2C065DCC" w14:textId="77777777" w:rsidR="00DF3020" w:rsidRDefault="00E7349D">
      <w:pPr>
        <w:spacing w:after="0"/>
        <w:ind w:left="1170" w:hanging="1170"/>
        <w:rPr>
          <w:rFonts w:ascii="Palatino Linotype" w:eastAsia="Times New Roman" w:hAnsi="Palatino Linotype" w:cs="Times New Roman"/>
          <w:lang w:val="id-ID"/>
        </w:rPr>
      </w:pPr>
      <w:r w:rsidRPr="001D3F98">
        <w:rPr>
          <w:rFonts w:ascii="Palatino Linotype" w:eastAsia="Times New Roman" w:hAnsi="Palatino Linotype" w:cs="Times New Roman"/>
          <w:i/>
          <w:iCs/>
          <w:lang w:val="en-GB"/>
        </w:rPr>
        <w:lastRenderedPageBreak/>
        <w:t>Keywords:</w:t>
      </w:r>
      <w:r w:rsidRPr="001D3F98">
        <w:rPr>
          <w:rFonts w:ascii="Palatino Linotype" w:hAnsi="Palatino Linotype" w:cs="Times New Roman"/>
        </w:rPr>
        <w:tab/>
      </w:r>
      <w:r w:rsidR="009D2118">
        <w:rPr>
          <w:rFonts w:ascii="Palatino Linotype" w:eastAsia="Times New Roman" w:hAnsi="Palatino Linotype" w:cs="Times New Roman"/>
          <w:lang w:val="id-ID"/>
        </w:rPr>
        <w:t>Community service</w:t>
      </w:r>
      <w:r w:rsidR="009D2118">
        <w:rPr>
          <w:rFonts w:ascii="Palatino Linotype" w:eastAsia="Times New Roman" w:hAnsi="Palatino Linotype" w:cs="Times New Roman"/>
        </w:rPr>
        <w:t>,</w:t>
      </w:r>
      <w:r w:rsidR="009D2118">
        <w:rPr>
          <w:rFonts w:ascii="Palatino Linotype" w:eastAsia="Times New Roman" w:hAnsi="Palatino Linotype" w:cs="Times New Roman"/>
          <w:lang w:val="id-ID"/>
        </w:rPr>
        <w:t xml:space="preserve"> Competency training</w:t>
      </w:r>
      <w:r w:rsidR="009D2118">
        <w:rPr>
          <w:rFonts w:ascii="Palatino Linotype" w:eastAsia="Times New Roman" w:hAnsi="Palatino Linotype" w:cs="Times New Roman"/>
        </w:rPr>
        <w:t>,</w:t>
      </w:r>
      <w:r w:rsidR="009D2118" w:rsidRPr="009D2118">
        <w:rPr>
          <w:rFonts w:ascii="Palatino Linotype" w:eastAsia="Times New Roman" w:hAnsi="Palatino Linotype" w:cs="Times New Roman"/>
          <w:lang w:val="id-ID"/>
        </w:rPr>
        <w:t xml:space="preserve"> Importance–Perfor</w:t>
      </w:r>
      <w:r w:rsidR="009D2118">
        <w:rPr>
          <w:rFonts w:ascii="Palatino Linotype" w:eastAsia="Times New Roman" w:hAnsi="Palatino Linotype" w:cs="Times New Roman"/>
          <w:lang w:val="id-ID"/>
        </w:rPr>
        <w:t>mance Analysis</w:t>
      </w:r>
      <w:r w:rsidR="009D2118">
        <w:rPr>
          <w:rFonts w:ascii="Palatino Linotype" w:eastAsia="Times New Roman" w:hAnsi="Palatino Linotype" w:cs="Times New Roman"/>
        </w:rPr>
        <w:t>,</w:t>
      </w:r>
      <w:r w:rsidR="009D2118">
        <w:rPr>
          <w:rFonts w:ascii="Palatino Linotype" w:eastAsia="Times New Roman" w:hAnsi="Palatino Linotype" w:cs="Times New Roman"/>
          <w:lang w:val="id-ID"/>
        </w:rPr>
        <w:t xml:space="preserve"> Service quality</w:t>
      </w:r>
      <w:r w:rsidR="009D2118">
        <w:rPr>
          <w:rFonts w:ascii="Palatino Linotype" w:eastAsia="Times New Roman" w:hAnsi="Palatino Linotype" w:cs="Times New Roman"/>
        </w:rPr>
        <w:t>,</w:t>
      </w:r>
      <w:r w:rsidR="009D2118" w:rsidRPr="009D2118">
        <w:rPr>
          <w:rFonts w:ascii="Palatino Linotype" w:eastAsia="Times New Roman" w:hAnsi="Palatino Linotype" w:cs="Times New Roman"/>
          <w:lang w:val="id-ID"/>
        </w:rPr>
        <w:t xml:space="preserve"> Welding inspector</w:t>
      </w:r>
      <w:r w:rsidRPr="001D3F98">
        <w:rPr>
          <w:rFonts w:ascii="Palatino Linotype" w:eastAsia="Times New Roman" w:hAnsi="Palatino Linotype" w:cs="Times New Roman"/>
          <w:lang w:val="id-ID"/>
        </w:rPr>
        <w:t>.</w:t>
      </w:r>
    </w:p>
    <w:p w14:paraId="7AA0C6CA" w14:textId="77777777" w:rsidR="007D6724" w:rsidRPr="001D3F98" w:rsidRDefault="007D6724">
      <w:pPr>
        <w:spacing w:after="0"/>
        <w:ind w:left="1170" w:hanging="1170"/>
        <w:rPr>
          <w:rFonts w:ascii="Palatino Linotype" w:eastAsia="Times New Roman" w:hAnsi="Palatino Linotype" w:cs="Times New Roman"/>
          <w:lang w:val="id-ID"/>
        </w:rPr>
      </w:pPr>
    </w:p>
    <w:p w14:paraId="0B49212C" w14:textId="77777777" w:rsidR="001D0CFE" w:rsidRPr="001D3F98" w:rsidRDefault="00D60C49" w:rsidP="001D0CFE">
      <w:pPr>
        <w:pStyle w:val="ListParagraph"/>
        <w:numPr>
          <w:ilvl w:val="0"/>
          <w:numId w:val="2"/>
        </w:numPr>
        <w:spacing w:after="0"/>
        <w:ind w:left="426" w:hanging="426"/>
        <w:jc w:val="both"/>
        <w:rPr>
          <w:rFonts w:ascii="Palatino Linotype" w:eastAsia="Cambria" w:hAnsi="Palatino Linotype" w:cs="Times New Roman"/>
          <w:b/>
          <w:bCs/>
          <w:sz w:val="24"/>
          <w:szCs w:val="24"/>
        </w:rPr>
      </w:pPr>
      <w:r w:rsidRPr="001D3F98">
        <w:rPr>
          <w:rFonts w:ascii="Palatino Linotype" w:eastAsia="Cambria" w:hAnsi="Palatino Linotype" w:cs="Times New Roman"/>
          <w:b/>
          <w:bCs/>
          <w:sz w:val="24"/>
          <w:szCs w:val="24"/>
        </w:rPr>
        <w:t>Introduction</w:t>
      </w:r>
    </w:p>
    <w:p w14:paraId="0F8A4218" w14:textId="77777777" w:rsidR="00DF3020" w:rsidRPr="00B63302" w:rsidRDefault="0037040C" w:rsidP="005E4EF3">
      <w:pPr>
        <w:spacing w:after="0"/>
        <w:ind w:firstLine="448"/>
        <w:jc w:val="both"/>
        <w:rPr>
          <w:rFonts w:ascii="Palatino Linotype" w:eastAsia="Times New Roman" w:hAnsi="Palatino Linotype" w:cs="Times New Roman"/>
          <w:color w:val="000000" w:themeColor="text1"/>
          <w:sz w:val="28"/>
          <w:szCs w:val="24"/>
        </w:rPr>
      </w:pPr>
      <w:r w:rsidRPr="00B63302">
        <w:rPr>
          <w:rFonts w:ascii="Palatino Linotype" w:hAnsi="Palatino Linotype"/>
          <w:sz w:val="24"/>
        </w:rPr>
        <w:t>The welding industry plays a critical role in shipbuilding, construction, manufacturing, automotive, aerospace, and other industrial applications (Sahoo &amp; Tripathy, 2021). Because welded joints directly influence structural integrity, reliability, and service life, welding activities must be controlled against applicable technical requirements, codes, and acceptance criteria (Zhang, 2020; Hargiyarto, 2015). This requirement makes the competence of personnel who perform or verify welding inspection particularly important for industrial quality assurance and compliance.</w:t>
      </w:r>
    </w:p>
    <w:p w14:paraId="46165388" w14:textId="77777777" w:rsidR="0037040C" w:rsidRPr="00B63302" w:rsidRDefault="0037040C" w:rsidP="005E4EF3">
      <w:pPr>
        <w:spacing w:after="0"/>
        <w:ind w:firstLine="448"/>
        <w:jc w:val="both"/>
        <w:rPr>
          <w:rFonts w:ascii="Palatino Linotype" w:eastAsia="Times New Roman" w:hAnsi="Palatino Linotype" w:cs="Times New Roman"/>
          <w:color w:val="000000" w:themeColor="text1"/>
          <w:sz w:val="28"/>
          <w:szCs w:val="24"/>
        </w:rPr>
      </w:pPr>
      <w:r w:rsidRPr="00B63302">
        <w:rPr>
          <w:rFonts w:ascii="Palatino Linotype" w:hAnsi="Palatino Linotype"/>
          <w:sz w:val="24"/>
        </w:rPr>
        <w:t>One of the key professionals responsible for welding quality assurance is the Welding Inspector. Welding Inspectors monitor and verify welding activities, materials, procedures, workmanship, and welded joints against applicable codes, standards, specifications, and acceptance criteria (Chakradhar, 2022; AWS, 2008). Their competence therefore has a direct operational relevance to industrial compliance because inspection decisions can determine whether welding work is accepted, corrected, or subjected to further examination. Competency-based training and professional certification provide a structured pathway for developing and recognizing the technical knowledge and practical skills required for welding inspection, including welding processes, codes and standards, material behavior, inspection techniques, destructive and non-destructive testing, and welding qualification requirements (Aris, 2017; CSWIP, 2024). AWS (2020) further emphasizes the role of welding inspection in maintaining the quality, safety, and reliability of welded structures.</w:t>
      </w:r>
    </w:p>
    <w:p w14:paraId="618F66D0" w14:textId="77777777" w:rsidR="0037040C" w:rsidRPr="00B63302" w:rsidRDefault="0037040C" w:rsidP="005E4EF3">
      <w:pPr>
        <w:spacing w:after="0"/>
        <w:ind w:firstLine="448"/>
        <w:jc w:val="both"/>
        <w:rPr>
          <w:rFonts w:ascii="Palatino Linotype" w:eastAsia="Times New Roman" w:hAnsi="Palatino Linotype" w:cs="Times New Roman"/>
          <w:color w:val="000000" w:themeColor="text1"/>
          <w:sz w:val="28"/>
          <w:szCs w:val="24"/>
        </w:rPr>
      </w:pPr>
      <w:r w:rsidRPr="00B63302">
        <w:rPr>
          <w:rFonts w:ascii="Palatino Linotype" w:hAnsi="Palatino Linotype"/>
          <w:sz w:val="24"/>
        </w:rPr>
        <w:t>In response to these industry needs, the Shipbuilding Institute of Polytechnic Surabaya (PPNS) has continuously organized the Welding Inspector Comprehensive Training and Certification Program. By 2026, the program had been implemented in 70 training batches in collaboration with a Professional Certification Institute (Lembaga Sertifikasi Profesi—LSP), with competency certification issued through the National Professional Certification Agency (Badan Nasional Sertifikasi Profesi—BNSP). The program provides participants with theoretical and practical competencies in welding processes, welding codes and standards, material behavior, welding inspection, destructive and non-destructive testing, and welding qualification requirements.</w:t>
      </w:r>
    </w:p>
    <w:p w14:paraId="556834AB" w14:textId="77777777" w:rsidR="0037040C" w:rsidRPr="00B63302" w:rsidRDefault="0037040C" w:rsidP="005E4EF3">
      <w:pPr>
        <w:spacing w:after="0"/>
        <w:ind w:firstLine="448"/>
        <w:jc w:val="both"/>
        <w:rPr>
          <w:rFonts w:ascii="Palatino Linotype" w:eastAsia="Times New Roman" w:hAnsi="Palatino Linotype" w:cs="Times New Roman"/>
          <w:color w:val="000000" w:themeColor="text1"/>
          <w:sz w:val="28"/>
          <w:szCs w:val="24"/>
        </w:rPr>
      </w:pPr>
      <w:r w:rsidRPr="00B63302">
        <w:rPr>
          <w:rFonts w:ascii="Palatino Linotype" w:hAnsi="Palatino Linotype"/>
          <w:sz w:val="24"/>
        </w:rPr>
        <w:t xml:space="preserve">The quality of a competency-based training program, however, depends not only on the technical content but also on the service conditions through which that content is delivered. In welding inspector training, participants must receive adequate facilities, reliable administration, timely assistance, clear technical communication, </w:t>
      </w:r>
      <w:r w:rsidRPr="00B63302">
        <w:rPr>
          <w:rFonts w:ascii="Palatino Linotype" w:hAnsi="Palatino Linotype"/>
          <w:sz w:val="24"/>
        </w:rPr>
        <w:lastRenderedPageBreak/>
        <w:t>and credible assessment and certification support so that learning activities can be completed effectively. Weaknesses in these supporting services may reduce participants' ability to engage with practical learning and may consequently limit the effectiveness of competency development. For this reason, a service-quality evaluation is not merely an assessment of participant satisfaction; it is a means of identifying service conditions that can support or hinder the delivery of competency training relevant to industrial requirements. These services include administration, learning facilities and materials,</w:t>
      </w:r>
    </w:p>
    <w:p w14:paraId="19B96EAC" w14:textId="77777777" w:rsidR="0037040C" w:rsidRPr="00B63302" w:rsidRDefault="0037040C" w:rsidP="0038284B">
      <w:pPr>
        <w:spacing w:after="0"/>
        <w:ind w:firstLine="448"/>
        <w:jc w:val="both"/>
        <w:rPr>
          <w:rFonts w:ascii="Palatino Linotype" w:eastAsia="Times New Roman" w:hAnsi="Palatino Linotype" w:cs="Times New Roman"/>
          <w:color w:val="000000" w:themeColor="text1"/>
          <w:sz w:val="28"/>
          <w:szCs w:val="24"/>
        </w:rPr>
      </w:pPr>
      <w:r w:rsidRPr="00B63302">
        <w:rPr>
          <w:rFonts w:ascii="Palatino Linotype" w:hAnsi="Palatino Linotype"/>
          <w:sz w:val="24"/>
        </w:rPr>
        <w:t>Therefore, this community service activity aimed to evaluate the quality of the Welding Inspector Comprehensive Training and Certification Program at PPNS based on participants' expectations and perceptions. SERVQUAL was selected because it can distinguish specific service deficiencies across tangibles, reliability, responsiveness, assurance, and empathy, which are relevant to the participant experience during theory, practice, administration, and certification. IPA was then used to determine which attributes should receive managerial attention by considering the relative level of expectation and perceived performance. This combination is particularly important for welding inspector competency training because improvement resources can be directed toward service conditions that participants consider important while avoiding indiscriminate interventions. The resulting evidence can help PPNS strengthen the delivery environment in which welding inspection competence is developed and assessed, thereby supporting the consistency and effectiveness of training aligned with industrial codes, standards, and compliance requirements.</w:t>
      </w:r>
    </w:p>
    <w:p w14:paraId="79D77B32" w14:textId="77777777" w:rsidR="00DF3020" w:rsidRPr="001D3F98" w:rsidRDefault="00DF3020">
      <w:pPr>
        <w:spacing w:after="0"/>
        <w:ind w:firstLine="448"/>
        <w:jc w:val="both"/>
        <w:rPr>
          <w:rFonts w:ascii="Palatino Linotype" w:eastAsia="Cambria" w:hAnsi="Palatino Linotype" w:cs="Times New Roman"/>
          <w:sz w:val="24"/>
          <w:szCs w:val="24"/>
        </w:rPr>
      </w:pPr>
    </w:p>
    <w:p w14:paraId="5A9E2EA4" w14:textId="77777777" w:rsidR="00DF3020" w:rsidRDefault="00E7349D" w:rsidP="00566606">
      <w:pPr>
        <w:pStyle w:val="TEXTs"/>
        <w:tabs>
          <w:tab w:val="left" w:pos="450"/>
        </w:tabs>
        <w:spacing w:after="0" w:line="240" w:lineRule="auto"/>
        <w:ind w:firstLine="0"/>
        <w:rPr>
          <w:rFonts w:ascii="Palatino Linotype" w:eastAsia="Times New Roman" w:hAnsi="Palatino Linotype" w:cs="Times New Roman"/>
          <w:b/>
          <w:bCs/>
          <w:sz w:val="24"/>
          <w:szCs w:val="24"/>
          <w:lang w:val="id-ID"/>
        </w:rPr>
      </w:pPr>
      <w:bookmarkStart w:id="0" w:name="_Hlk159852550"/>
      <w:r w:rsidRPr="001D3F98">
        <w:rPr>
          <w:rFonts w:ascii="Palatino Linotype" w:eastAsia="Times New Roman" w:hAnsi="Palatino Linotype" w:cs="Times New Roman"/>
          <w:b/>
          <w:bCs/>
          <w:sz w:val="24"/>
          <w:szCs w:val="24"/>
        </w:rPr>
        <w:t>2.</w:t>
      </w:r>
      <w:r w:rsidRPr="001D3F98">
        <w:rPr>
          <w:rFonts w:ascii="Palatino Linotype" w:hAnsi="Palatino Linotype" w:cs="Times New Roman"/>
        </w:rPr>
        <w:tab/>
      </w:r>
      <w:r w:rsidR="00E05D5C" w:rsidRPr="001D3F98">
        <w:rPr>
          <w:rFonts w:ascii="Palatino Linotype" w:eastAsia="Times New Roman" w:hAnsi="Palatino Linotype" w:cs="Times New Roman"/>
          <w:b/>
          <w:bCs/>
          <w:sz w:val="24"/>
          <w:szCs w:val="24"/>
          <w:lang w:val="id-ID"/>
        </w:rPr>
        <w:t>Literature Review</w:t>
      </w:r>
    </w:p>
    <w:p w14:paraId="01701EA0" w14:textId="77777777" w:rsidR="00566606" w:rsidRDefault="001C3BB4" w:rsidP="008A174C">
      <w:pPr>
        <w:pStyle w:val="TEXTs"/>
        <w:numPr>
          <w:ilvl w:val="1"/>
          <w:numId w:val="3"/>
        </w:numPr>
        <w:spacing w:after="0" w:line="240" w:lineRule="auto"/>
        <w:ind w:left="426" w:hanging="426"/>
        <w:rPr>
          <w:rFonts w:ascii="Palatino Linotype" w:eastAsia="Times New Roman" w:hAnsi="Palatino Linotype" w:cs="Times New Roman"/>
          <w:b/>
          <w:sz w:val="24"/>
          <w:szCs w:val="24"/>
        </w:rPr>
      </w:pPr>
      <w:r w:rsidRPr="00566606">
        <w:rPr>
          <w:rFonts w:ascii="Palatino Linotype" w:eastAsia="Times New Roman" w:hAnsi="Palatino Linotype" w:cs="Times New Roman"/>
          <w:b/>
          <w:sz w:val="24"/>
          <w:szCs w:val="24"/>
        </w:rPr>
        <w:t>Welding Inspe</w:t>
      </w:r>
      <w:r w:rsidR="00566606" w:rsidRPr="00566606">
        <w:rPr>
          <w:rFonts w:ascii="Palatino Linotype" w:eastAsia="Times New Roman" w:hAnsi="Palatino Linotype" w:cs="Times New Roman"/>
          <w:b/>
          <w:sz w:val="24"/>
          <w:szCs w:val="24"/>
        </w:rPr>
        <w:t xml:space="preserve">ctor </w:t>
      </w:r>
      <w:r w:rsidR="00566606" w:rsidRPr="00566606">
        <w:rPr>
          <w:rFonts w:ascii="Palatino Linotype" w:eastAsia="Times New Roman" w:hAnsi="Palatino Linotype" w:cs="Times New Roman"/>
          <w:b/>
          <w:sz w:val="24"/>
          <w:szCs w:val="24"/>
          <w:lang w:val="en-GB"/>
        </w:rPr>
        <w:t xml:space="preserve">Comprehensive </w:t>
      </w:r>
      <w:r w:rsidR="00566606" w:rsidRPr="00566606">
        <w:rPr>
          <w:rFonts w:ascii="Palatino Linotype" w:eastAsia="Times New Roman" w:hAnsi="Palatino Linotype" w:cs="Times New Roman"/>
          <w:b/>
          <w:sz w:val="24"/>
          <w:szCs w:val="24"/>
        </w:rPr>
        <w:t>Training and Certification</w:t>
      </w:r>
    </w:p>
    <w:p w14:paraId="455399D2" w14:textId="77777777" w:rsidR="00566606" w:rsidRPr="00566606" w:rsidRDefault="00566606" w:rsidP="005E4EF3">
      <w:pPr>
        <w:pStyle w:val="TEXTs"/>
        <w:spacing w:after="0" w:line="240" w:lineRule="auto"/>
        <w:ind w:firstLine="426"/>
        <w:rPr>
          <w:rFonts w:ascii="Palatino Linotype" w:eastAsia="Times New Roman" w:hAnsi="Palatino Linotype" w:cs="Times New Roman"/>
          <w:sz w:val="24"/>
          <w:szCs w:val="24"/>
        </w:rPr>
      </w:pPr>
      <w:r w:rsidRPr="00566606">
        <w:rPr>
          <w:rFonts w:ascii="Palatino Linotype" w:eastAsia="Times New Roman" w:hAnsi="Palatino Linotype" w:cs="Times New Roman"/>
          <w:sz w:val="24"/>
          <w:szCs w:val="24"/>
        </w:rPr>
        <w:t xml:space="preserve">Welding inspection is an essential component of welding quality assurance because the integrity and reliability of welded structures depend on the conformity of welding processes and welded joints with applicable requirements. Welding Inspectors are responsible for monitoring welding activities and verifying whether materials, welding procedures, workmanship, inspection processes, and welded joints comply with relevant codes, standards, specifications, and acceptance criteria </w:t>
      </w:r>
      <w:sdt>
        <w:sdtPr>
          <w:rPr>
            <w:rFonts w:ascii="Palatino Linotype" w:eastAsia="Times New Roman" w:hAnsi="Palatino Linotype" w:cs="Times New Roman"/>
            <w:sz w:val="24"/>
            <w:szCs w:val="24"/>
          </w:rPr>
          <w:id w:val="981965392"/>
          <w:citation/>
        </w:sdtPr>
        <w:sdtContent>
          <w:r w:rsidR="0037040C">
            <w:rPr>
              <w:rFonts w:ascii="Palatino Linotype" w:eastAsia="Times New Roman" w:hAnsi="Palatino Linotype" w:cs="Times New Roman"/>
              <w:sz w:val="24"/>
              <w:szCs w:val="24"/>
            </w:rPr>
            <w:fldChar w:fldCharType="begin"/>
          </w:r>
          <w:r w:rsidR="0037040C">
            <w:rPr>
              <w:rFonts w:ascii="Palatino Linotype" w:eastAsia="Times New Roman" w:hAnsi="Palatino Linotype" w:cs="Times New Roman"/>
              <w:sz w:val="24"/>
              <w:szCs w:val="24"/>
            </w:rPr>
            <w:instrText xml:space="preserve"> CITATION Ame08 \l 1033 </w:instrText>
          </w:r>
          <w:r w:rsidR="0037040C">
            <w:rPr>
              <w:rFonts w:ascii="Palatino Linotype" w:eastAsia="Times New Roman" w:hAnsi="Palatino Linotype" w:cs="Times New Roman"/>
              <w:sz w:val="24"/>
              <w:szCs w:val="24"/>
            </w:rPr>
            <w:fldChar w:fldCharType="separate"/>
          </w:r>
          <w:r w:rsidR="0034160E" w:rsidRPr="0034160E">
            <w:rPr>
              <w:rFonts w:ascii="Palatino Linotype" w:eastAsia="Times New Roman" w:hAnsi="Palatino Linotype" w:cs="Times New Roman"/>
              <w:noProof/>
              <w:sz w:val="24"/>
              <w:szCs w:val="24"/>
            </w:rPr>
            <w:t>(AWS, Welding Inspection Technology Fifth Edition, 2008)</w:t>
          </w:r>
          <w:r w:rsidR="0037040C">
            <w:rPr>
              <w:rFonts w:ascii="Palatino Linotype" w:eastAsia="Times New Roman" w:hAnsi="Palatino Linotype" w:cs="Times New Roman"/>
              <w:sz w:val="24"/>
              <w:szCs w:val="24"/>
            </w:rPr>
            <w:fldChar w:fldCharType="end"/>
          </w:r>
        </w:sdtContent>
      </w:sdt>
      <w:sdt>
        <w:sdtPr>
          <w:rPr>
            <w:rFonts w:ascii="Palatino Linotype" w:eastAsia="Times New Roman" w:hAnsi="Palatino Linotype" w:cs="Times New Roman"/>
            <w:sz w:val="24"/>
            <w:szCs w:val="24"/>
          </w:rPr>
          <w:id w:val="1917044336"/>
          <w:citation/>
        </w:sdtPr>
        <w:sdtContent>
          <w:r w:rsidR="0037040C">
            <w:rPr>
              <w:rFonts w:ascii="Palatino Linotype" w:eastAsia="Times New Roman" w:hAnsi="Palatino Linotype" w:cs="Times New Roman"/>
              <w:sz w:val="24"/>
              <w:szCs w:val="24"/>
            </w:rPr>
            <w:fldChar w:fldCharType="begin"/>
          </w:r>
          <w:r w:rsidR="0037040C">
            <w:rPr>
              <w:rFonts w:ascii="Palatino Linotype" w:eastAsia="Times New Roman" w:hAnsi="Palatino Linotype" w:cs="Times New Roman"/>
              <w:sz w:val="24"/>
              <w:szCs w:val="24"/>
            </w:rPr>
            <w:instrText xml:space="preserve"> CITATION AWS20 \l 1033 </w:instrText>
          </w:r>
          <w:r w:rsidR="0037040C">
            <w:rPr>
              <w:rFonts w:ascii="Palatino Linotype" w:eastAsia="Times New Roman" w:hAnsi="Palatino Linotype" w:cs="Times New Roman"/>
              <w:sz w:val="24"/>
              <w:szCs w:val="24"/>
            </w:rPr>
            <w:fldChar w:fldCharType="separate"/>
          </w:r>
          <w:r w:rsidR="0034160E">
            <w:rPr>
              <w:rFonts w:ascii="Palatino Linotype" w:eastAsia="Times New Roman" w:hAnsi="Palatino Linotype" w:cs="Times New Roman"/>
              <w:noProof/>
              <w:sz w:val="24"/>
              <w:szCs w:val="24"/>
            </w:rPr>
            <w:t xml:space="preserve"> </w:t>
          </w:r>
          <w:r w:rsidR="0034160E" w:rsidRPr="0034160E">
            <w:rPr>
              <w:rFonts w:ascii="Palatino Linotype" w:eastAsia="Times New Roman" w:hAnsi="Palatino Linotype" w:cs="Times New Roman"/>
              <w:noProof/>
              <w:sz w:val="24"/>
              <w:szCs w:val="24"/>
            </w:rPr>
            <w:t>(AWS, Welding Inspection Technology Sixth Edition, 2020)</w:t>
          </w:r>
          <w:r w:rsidR="0037040C">
            <w:rPr>
              <w:rFonts w:ascii="Palatino Linotype" w:eastAsia="Times New Roman" w:hAnsi="Palatino Linotype" w:cs="Times New Roman"/>
              <w:sz w:val="24"/>
              <w:szCs w:val="24"/>
            </w:rPr>
            <w:fldChar w:fldCharType="end"/>
          </w:r>
        </w:sdtContent>
      </w:sdt>
      <w:r w:rsidRPr="00566606">
        <w:rPr>
          <w:rFonts w:ascii="Palatino Linotype" w:eastAsia="Times New Roman" w:hAnsi="Palatino Linotype" w:cs="Times New Roman"/>
          <w:sz w:val="24"/>
          <w:szCs w:val="24"/>
        </w:rPr>
        <w:t>. Consequently, Welding Inspectors require adequate technical knowledge, practical skills, and professional competence to perform inspection activities effectively.</w:t>
      </w:r>
    </w:p>
    <w:p w14:paraId="3340E1E3" w14:textId="77777777" w:rsidR="00566606" w:rsidRPr="00566606" w:rsidRDefault="00566606" w:rsidP="005E4EF3">
      <w:pPr>
        <w:pStyle w:val="TEXTs"/>
        <w:spacing w:after="0" w:line="240" w:lineRule="auto"/>
        <w:ind w:firstLine="426"/>
        <w:rPr>
          <w:rFonts w:ascii="Palatino Linotype" w:eastAsia="Times New Roman" w:hAnsi="Palatino Linotype" w:cs="Times New Roman"/>
          <w:sz w:val="24"/>
          <w:szCs w:val="24"/>
        </w:rPr>
      </w:pPr>
      <w:r w:rsidRPr="00566606">
        <w:rPr>
          <w:rFonts w:ascii="Palatino Linotype" w:eastAsia="Times New Roman" w:hAnsi="Palatino Linotype" w:cs="Times New Roman"/>
          <w:sz w:val="24"/>
          <w:szCs w:val="24"/>
        </w:rPr>
        <w:t xml:space="preserve">Competency-based training provides a structured approach for developing the knowledge and skills required for specific occupational tasks. In the context of welding inspection, training generally covers welding processes, welding metallurgy, welding codes and standards, welding procedures, visual inspection, destructive and non-destructive testing, and welding qualification requirements. These competencies </w:t>
      </w:r>
      <w:r w:rsidRPr="00566606">
        <w:rPr>
          <w:rFonts w:ascii="Palatino Linotype" w:eastAsia="Times New Roman" w:hAnsi="Palatino Linotype" w:cs="Times New Roman"/>
          <w:sz w:val="24"/>
          <w:szCs w:val="24"/>
        </w:rPr>
        <w:lastRenderedPageBreak/>
        <w:t>enable personnel to identify deviations from specified requirements and contribute to the prevention of welding defects and potential failures.</w:t>
      </w:r>
    </w:p>
    <w:p w14:paraId="5B26832D" w14:textId="77777777" w:rsidR="00566606" w:rsidRPr="00566606" w:rsidRDefault="00566606" w:rsidP="005E4EF3">
      <w:pPr>
        <w:pStyle w:val="TEXTs"/>
        <w:spacing w:after="0" w:line="240" w:lineRule="auto"/>
        <w:ind w:firstLine="426"/>
        <w:rPr>
          <w:rFonts w:ascii="Palatino Linotype" w:eastAsia="Times New Roman" w:hAnsi="Palatino Linotype" w:cs="Times New Roman"/>
          <w:sz w:val="24"/>
          <w:szCs w:val="24"/>
        </w:rPr>
      </w:pPr>
      <w:r w:rsidRPr="00566606">
        <w:rPr>
          <w:rFonts w:ascii="Palatino Linotype" w:eastAsia="Times New Roman" w:hAnsi="Palatino Linotype" w:cs="Times New Roman"/>
          <w:sz w:val="24"/>
          <w:szCs w:val="24"/>
        </w:rPr>
        <w:t>Professional certification complements training by providing formal recognition of an individual's competence against established occupational requirements. Certification is particularly relevant in technical occupations where competence must be demonstrated through standardized assessment. Therefore, training and certification programs for Welding Inspectors serve not only as mechanisms for individual competency development but also as part of the quality assurance system within industries that rely extensively on welded structures.</w:t>
      </w:r>
    </w:p>
    <w:p w14:paraId="6F833AA6" w14:textId="77777777" w:rsidR="00E07265" w:rsidRPr="00B63302" w:rsidRDefault="007E06BF" w:rsidP="00B63302">
      <w:pPr>
        <w:spacing w:after="0"/>
        <w:ind w:firstLine="426"/>
        <w:jc w:val="both"/>
        <w:rPr>
          <w:rFonts w:ascii="Palatino Linotype" w:hAnsi="Palatino Linotype"/>
          <w:sz w:val="24"/>
        </w:rPr>
      </w:pPr>
      <w:r w:rsidRPr="00B63302">
        <w:rPr>
          <w:rFonts w:ascii="Palatino Linotype" w:hAnsi="Palatino Linotype"/>
          <w:sz w:val="24"/>
        </w:rPr>
        <w:t xml:space="preserve">For the present evaluation, the five SERVQUAL dimensions were operationalized into 20 participant-facing service attributes (A1–A20), with four attributes assigned to each dimension. The attributes were adapted to the specific service setting of welding inspector competency training rather than copied as generic statements. </w:t>
      </w:r>
      <w:r w:rsidRPr="00B63302">
        <w:rPr>
          <w:rFonts w:ascii="Palatino Linotype" w:hAnsi="Palatino Linotype"/>
          <w:i/>
          <w:sz w:val="24"/>
        </w:rPr>
        <w:t>Tangibles</w:t>
      </w:r>
      <w:r w:rsidRPr="00B63302">
        <w:rPr>
          <w:rFonts w:ascii="Palatino Linotype" w:hAnsi="Palatino Linotype"/>
          <w:sz w:val="24"/>
        </w:rPr>
        <w:t xml:space="preserve"> were contextualized to classrooms, practical areas, equipment, and learning materials; </w:t>
      </w:r>
      <w:r w:rsidR="00B63302">
        <w:rPr>
          <w:rFonts w:ascii="Palatino Linotype" w:hAnsi="Palatino Linotype"/>
          <w:i/>
          <w:sz w:val="24"/>
        </w:rPr>
        <w:t>R</w:t>
      </w:r>
      <w:r w:rsidRPr="00B63302">
        <w:rPr>
          <w:rFonts w:ascii="Palatino Linotype" w:hAnsi="Palatino Linotype"/>
          <w:i/>
          <w:sz w:val="24"/>
        </w:rPr>
        <w:t>eliability</w:t>
      </w:r>
      <w:r w:rsidRPr="00B63302">
        <w:rPr>
          <w:rFonts w:ascii="Palatino Linotype" w:hAnsi="Palatino Linotype"/>
          <w:sz w:val="24"/>
        </w:rPr>
        <w:t xml:space="preserve"> to schedule implementation, administrative accuracy, program consistency, and certification documentation; </w:t>
      </w:r>
      <w:r w:rsidR="00B63302" w:rsidRPr="00B63302">
        <w:rPr>
          <w:rFonts w:ascii="Palatino Linotype" w:hAnsi="Palatino Linotype"/>
          <w:i/>
          <w:sz w:val="24"/>
        </w:rPr>
        <w:t>R</w:t>
      </w:r>
      <w:r w:rsidRPr="00B63302">
        <w:rPr>
          <w:rFonts w:ascii="Palatino Linotype" w:hAnsi="Palatino Linotype"/>
          <w:i/>
          <w:sz w:val="24"/>
        </w:rPr>
        <w:t>esponsiveness</w:t>
      </w:r>
      <w:r w:rsidRPr="00B63302">
        <w:rPr>
          <w:rFonts w:ascii="Palatino Linotype" w:hAnsi="Palatino Linotype"/>
          <w:sz w:val="24"/>
        </w:rPr>
        <w:t xml:space="preserve"> to timely assistance, information, and follow-up; </w:t>
      </w:r>
      <w:r w:rsidR="00B63302" w:rsidRPr="00B63302">
        <w:rPr>
          <w:rFonts w:ascii="Palatino Linotype" w:hAnsi="Palatino Linotype"/>
          <w:i/>
          <w:sz w:val="24"/>
        </w:rPr>
        <w:t>A</w:t>
      </w:r>
      <w:r w:rsidRPr="00B63302">
        <w:rPr>
          <w:rFonts w:ascii="Palatino Linotype" w:hAnsi="Palatino Linotype"/>
          <w:i/>
          <w:sz w:val="24"/>
        </w:rPr>
        <w:t>ssurance</w:t>
      </w:r>
      <w:r w:rsidRPr="00B63302">
        <w:rPr>
          <w:rFonts w:ascii="Palatino Linotype" w:hAnsi="Palatino Linotype"/>
          <w:sz w:val="24"/>
        </w:rPr>
        <w:t xml:space="preserve"> to instructor competence, professional communication, and confidence in ass</w:t>
      </w:r>
      <w:r w:rsidR="00B63302">
        <w:rPr>
          <w:rFonts w:ascii="Palatino Linotype" w:hAnsi="Palatino Linotype"/>
          <w:sz w:val="24"/>
        </w:rPr>
        <w:t xml:space="preserve">essment and certification; and </w:t>
      </w:r>
      <w:r w:rsidR="00B63302" w:rsidRPr="00B63302">
        <w:rPr>
          <w:rFonts w:ascii="Palatino Linotype" w:hAnsi="Palatino Linotype"/>
          <w:i/>
          <w:sz w:val="24"/>
        </w:rPr>
        <w:t>E</w:t>
      </w:r>
      <w:r w:rsidRPr="00B63302">
        <w:rPr>
          <w:rFonts w:ascii="Palatino Linotype" w:hAnsi="Palatino Linotype"/>
          <w:i/>
          <w:sz w:val="24"/>
        </w:rPr>
        <w:t>mpathy</w:t>
      </w:r>
      <w:r w:rsidRPr="00B63302">
        <w:rPr>
          <w:rFonts w:ascii="Palatino Linotype" w:hAnsi="Palatino Linotype"/>
          <w:sz w:val="24"/>
        </w:rPr>
        <w:t xml:space="preserve"> to individual attention, respectful communication, opportunities for clarification, and responsiveness to participant needs. This adaptation allows SERVQUAL to capture service conditions that participants directly experience during welding inspector training while retaining the theoretical structure of the original model.</w:t>
      </w:r>
    </w:p>
    <w:p w14:paraId="186DE253" w14:textId="77777777" w:rsidR="00566606" w:rsidRDefault="00566606" w:rsidP="005E4EF3">
      <w:pPr>
        <w:pStyle w:val="TEXTs"/>
        <w:spacing w:after="0" w:line="240" w:lineRule="auto"/>
        <w:ind w:firstLine="426"/>
        <w:rPr>
          <w:rFonts w:ascii="Palatino Linotype" w:eastAsia="Times New Roman" w:hAnsi="Palatino Linotype" w:cs="Times New Roman"/>
          <w:sz w:val="24"/>
          <w:szCs w:val="24"/>
        </w:rPr>
      </w:pPr>
      <w:r w:rsidRPr="00566606">
        <w:rPr>
          <w:rFonts w:ascii="Palatino Linotype" w:eastAsia="Times New Roman" w:hAnsi="Palatino Linotype" w:cs="Times New Roman"/>
          <w:sz w:val="24"/>
          <w:szCs w:val="24"/>
        </w:rPr>
        <w:t>For vocational higher education institutions and professional training providers, the quality of a competency-based training program should be considered from both the technical and service perspectives. Technical competency achievement indicates whether participants have acquired the required occupational competencies, while service quality reflects participants' experiences with the training provider throughout the learning and certification process. Both aspects are important for ensuring the effectiveness and sustainability of professional training programs.</w:t>
      </w:r>
    </w:p>
    <w:p w14:paraId="4A9052E8" w14:textId="77777777" w:rsidR="001C3BB4" w:rsidRDefault="001C3BB4" w:rsidP="005E4EF3">
      <w:pPr>
        <w:pStyle w:val="TEXTs"/>
        <w:numPr>
          <w:ilvl w:val="1"/>
          <w:numId w:val="3"/>
        </w:numPr>
        <w:spacing w:before="120" w:after="0" w:line="240" w:lineRule="auto"/>
        <w:ind w:left="426" w:hanging="426"/>
        <w:rPr>
          <w:rFonts w:ascii="Palatino Linotype" w:eastAsia="Times New Roman" w:hAnsi="Palatino Linotype" w:cs="Times New Roman"/>
          <w:b/>
          <w:sz w:val="24"/>
          <w:szCs w:val="24"/>
        </w:rPr>
      </w:pPr>
      <w:r w:rsidRPr="00566606">
        <w:rPr>
          <w:rFonts w:ascii="Palatino Linotype" w:eastAsia="Times New Roman" w:hAnsi="Palatino Linotype" w:cs="Times New Roman"/>
          <w:b/>
          <w:sz w:val="24"/>
          <w:szCs w:val="24"/>
        </w:rPr>
        <w:t>Service Quality and SERVQUAL</w:t>
      </w:r>
    </w:p>
    <w:p w14:paraId="1DC9766F" w14:textId="77777777" w:rsidR="00F02A07" w:rsidRPr="00F02A07" w:rsidRDefault="00F02A07" w:rsidP="005E4EF3">
      <w:pPr>
        <w:pStyle w:val="TEXTs"/>
        <w:spacing w:after="0" w:line="240" w:lineRule="auto"/>
        <w:ind w:firstLine="426"/>
        <w:rPr>
          <w:rFonts w:ascii="Palatino Linotype" w:eastAsia="Times New Roman" w:hAnsi="Palatino Linotype" w:cs="Times New Roman"/>
          <w:sz w:val="24"/>
          <w:szCs w:val="24"/>
        </w:rPr>
      </w:pPr>
      <w:r w:rsidRPr="00F02A07">
        <w:rPr>
          <w:rFonts w:ascii="Palatino Linotype" w:eastAsia="Times New Roman" w:hAnsi="Palatino Linotype" w:cs="Times New Roman"/>
          <w:sz w:val="24"/>
          <w:szCs w:val="24"/>
        </w:rPr>
        <w:t>Service quality represents the extent to which a service meets users' expectations and provides a satisfactory service experience. In educational and training environments, service quality includes not only the delivery of learning content but also various supporting services, such as administrative procedures, facilities, instructor performance, communication, responsiveness, and assistance provided to participants.</w:t>
      </w:r>
    </w:p>
    <w:p w14:paraId="54D1463B" w14:textId="77777777" w:rsidR="00F02A07" w:rsidRPr="00F02A07" w:rsidRDefault="00F02A07" w:rsidP="005E4EF3">
      <w:pPr>
        <w:pStyle w:val="TEXTs"/>
        <w:spacing w:after="0" w:line="240" w:lineRule="auto"/>
        <w:ind w:firstLine="426"/>
        <w:rPr>
          <w:rFonts w:ascii="Palatino Linotype" w:eastAsia="Times New Roman" w:hAnsi="Palatino Linotype" w:cs="Times New Roman"/>
          <w:sz w:val="24"/>
          <w:szCs w:val="24"/>
        </w:rPr>
      </w:pPr>
      <w:r w:rsidRPr="00F02A07">
        <w:rPr>
          <w:rFonts w:ascii="Palatino Linotype" w:eastAsia="Times New Roman" w:hAnsi="Palatino Linotype" w:cs="Times New Roman"/>
          <w:sz w:val="24"/>
          <w:szCs w:val="24"/>
        </w:rPr>
        <w:t>Parasuraman et al. (1988) developed the SERVQUAL model as a framework for evaluating perceived service quality based on the comparison between customer expectations and perceptions of actual service performance. The mo</w:t>
      </w:r>
      <w:r w:rsidR="005C4AC0">
        <w:rPr>
          <w:rFonts w:ascii="Palatino Linotype" w:eastAsia="Times New Roman" w:hAnsi="Palatino Linotype" w:cs="Times New Roman"/>
          <w:sz w:val="24"/>
          <w:szCs w:val="24"/>
        </w:rPr>
        <w:t>del consists of five dimensions</w:t>
      </w:r>
      <w:r w:rsidRPr="00F02A07">
        <w:rPr>
          <w:rFonts w:ascii="Palatino Linotype" w:eastAsia="Times New Roman" w:hAnsi="Palatino Linotype" w:cs="Times New Roman"/>
          <w:sz w:val="24"/>
          <w:szCs w:val="24"/>
        </w:rPr>
        <w:t xml:space="preserve"> tangibles, reliability, responsiveness, assurance, and empathy. The five </w:t>
      </w:r>
      <w:r w:rsidRPr="00F02A07">
        <w:rPr>
          <w:rFonts w:ascii="Palatino Linotype" w:eastAsia="Times New Roman" w:hAnsi="Palatino Linotype" w:cs="Times New Roman"/>
          <w:sz w:val="24"/>
          <w:szCs w:val="24"/>
        </w:rPr>
        <w:lastRenderedPageBreak/>
        <w:t>dimensions provide a structured framework for identifying specific aspects of service delivery that may contribute to positive or negative user experiences.</w:t>
      </w:r>
    </w:p>
    <w:p w14:paraId="7B803154" w14:textId="77777777" w:rsidR="00F02A07" w:rsidRPr="00F02A07" w:rsidRDefault="00F02A07" w:rsidP="005E4EF3">
      <w:pPr>
        <w:pStyle w:val="TEXTs"/>
        <w:spacing w:after="0" w:line="240" w:lineRule="auto"/>
        <w:ind w:firstLine="426"/>
        <w:rPr>
          <w:rFonts w:ascii="Palatino Linotype" w:eastAsia="Times New Roman" w:hAnsi="Palatino Linotype" w:cs="Times New Roman"/>
          <w:sz w:val="24"/>
          <w:szCs w:val="24"/>
        </w:rPr>
      </w:pPr>
      <w:r w:rsidRPr="00F02A07">
        <w:rPr>
          <w:rFonts w:ascii="Palatino Linotype" w:eastAsia="Times New Roman" w:hAnsi="Palatino Linotype" w:cs="Times New Roman"/>
          <w:sz w:val="24"/>
          <w:szCs w:val="24"/>
        </w:rPr>
        <w:t>The tangibles dimension refers to the physical facilities, equipment, learning materials, and appearance of personnel. Reliability refers to the ability of the service provider to deliver the promised service accurately and consistently. Responsiveness represents the willingness and promptness of personnel in assisting users and responding to their needs. Assurance concerns the knowledge, competence, courtesy, and credibility of service personnel in creating users' confidence. Finally, empathy refers to the individualized attention and understanding provided to users</w:t>
      </w:r>
      <w:sdt>
        <w:sdtPr>
          <w:rPr>
            <w:rFonts w:ascii="Palatino Linotype" w:eastAsia="Times New Roman" w:hAnsi="Palatino Linotype" w:cs="Times New Roman"/>
            <w:sz w:val="24"/>
            <w:szCs w:val="24"/>
          </w:rPr>
          <w:id w:val="-1133942356"/>
          <w:citation/>
        </w:sdtPr>
        <w:sdtContent>
          <w:r w:rsidR="0038284B">
            <w:rPr>
              <w:rFonts w:ascii="Palatino Linotype" w:eastAsia="Times New Roman" w:hAnsi="Palatino Linotype" w:cs="Times New Roman"/>
              <w:sz w:val="24"/>
              <w:szCs w:val="24"/>
            </w:rPr>
            <w:fldChar w:fldCharType="begin"/>
          </w:r>
          <w:r w:rsidR="0038284B">
            <w:rPr>
              <w:rFonts w:ascii="Palatino Linotype" w:eastAsia="Times New Roman" w:hAnsi="Palatino Linotype" w:cs="Times New Roman"/>
              <w:sz w:val="24"/>
              <w:szCs w:val="24"/>
            </w:rPr>
            <w:instrText xml:space="preserve"> CITATION Par88 \l 1033 </w:instrText>
          </w:r>
          <w:r w:rsidR="0038284B">
            <w:rPr>
              <w:rFonts w:ascii="Palatino Linotype" w:eastAsia="Times New Roman" w:hAnsi="Palatino Linotype" w:cs="Times New Roman"/>
              <w:sz w:val="24"/>
              <w:szCs w:val="24"/>
            </w:rPr>
            <w:fldChar w:fldCharType="separate"/>
          </w:r>
          <w:r w:rsidR="0034160E">
            <w:rPr>
              <w:rFonts w:ascii="Palatino Linotype" w:eastAsia="Times New Roman" w:hAnsi="Palatino Linotype" w:cs="Times New Roman"/>
              <w:noProof/>
              <w:sz w:val="24"/>
              <w:szCs w:val="24"/>
            </w:rPr>
            <w:t xml:space="preserve"> </w:t>
          </w:r>
          <w:r w:rsidR="0034160E" w:rsidRPr="0034160E">
            <w:rPr>
              <w:rFonts w:ascii="Palatino Linotype" w:eastAsia="Times New Roman" w:hAnsi="Palatino Linotype" w:cs="Times New Roman"/>
              <w:noProof/>
              <w:sz w:val="24"/>
              <w:szCs w:val="24"/>
            </w:rPr>
            <w:t>(Parasuraman, Zeithaml, &amp; Berry, 1988)</w:t>
          </w:r>
          <w:r w:rsidR="0038284B">
            <w:rPr>
              <w:rFonts w:ascii="Palatino Linotype" w:eastAsia="Times New Roman" w:hAnsi="Palatino Linotype" w:cs="Times New Roman"/>
              <w:sz w:val="24"/>
              <w:szCs w:val="24"/>
            </w:rPr>
            <w:fldChar w:fldCharType="end"/>
          </w:r>
        </w:sdtContent>
      </w:sdt>
      <w:r w:rsidRPr="00F02A07">
        <w:rPr>
          <w:rFonts w:ascii="Palatino Linotype" w:eastAsia="Times New Roman" w:hAnsi="Palatino Linotype" w:cs="Times New Roman"/>
          <w:sz w:val="24"/>
          <w:szCs w:val="24"/>
        </w:rPr>
        <w:t>.</w:t>
      </w:r>
    </w:p>
    <w:p w14:paraId="7FF152EE" w14:textId="77777777" w:rsidR="00F02A07" w:rsidRPr="00F02A07" w:rsidRDefault="00F02A07" w:rsidP="005E4EF3">
      <w:pPr>
        <w:pStyle w:val="TEXTs"/>
        <w:spacing w:after="0" w:line="240" w:lineRule="auto"/>
        <w:ind w:firstLine="426"/>
        <w:rPr>
          <w:rFonts w:ascii="Palatino Linotype" w:eastAsia="Times New Roman" w:hAnsi="Palatino Linotype" w:cs="Times New Roman"/>
          <w:sz w:val="24"/>
          <w:szCs w:val="24"/>
        </w:rPr>
      </w:pPr>
      <w:r w:rsidRPr="00F02A07">
        <w:rPr>
          <w:rFonts w:ascii="Palatino Linotype" w:eastAsia="Times New Roman" w:hAnsi="Palatino Linotype" w:cs="Times New Roman"/>
          <w:sz w:val="24"/>
          <w:szCs w:val="24"/>
        </w:rPr>
        <w:t>SERVQUAL has continued to be applied in educational service quality evaluation. Wider et al. (2024), through a bibliometric analysis of SERVQUAL research in higher education, demonstrated the continued relevance of the model for examining educational service quality and related user experiences. Bartolo and Tınmaz (2024) also identified SERVQUAL as one of the established approaches used to assess service quality in higher education. In the Indonesian vocational higher education context, Surtiningtyas and Saputra (2023) combined SERVQUAL with other quality improvement methods to identify service attributes requiring improvement.</w:t>
      </w:r>
    </w:p>
    <w:p w14:paraId="01A8E8C9" w14:textId="7EFC2665" w:rsidR="00F02A07" w:rsidRPr="00F02A07" w:rsidRDefault="00F02A07" w:rsidP="007D6724">
      <w:pPr>
        <w:pStyle w:val="TEXTs"/>
        <w:spacing w:after="0" w:line="240" w:lineRule="auto"/>
        <w:ind w:firstLine="426"/>
        <w:rPr>
          <w:rFonts w:ascii="Palatino Linotype" w:eastAsia="Times New Roman" w:hAnsi="Palatino Linotype" w:cs="Times New Roman"/>
          <w:sz w:val="24"/>
          <w:szCs w:val="24"/>
        </w:rPr>
      </w:pPr>
      <w:r w:rsidRPr="00F02A07">
        <w:rPr>
          <w:rFonts w:ascii="Palatino Linotype" w:eastAsia="Times New Roman" w:hAnsi="Palatino Linotype" w:cs="Times New Roman"/>
          <w:sz w:val="24"/>
          <w:szCs w:val="24"/>
        </w:rPr>
        <w:t>In the present community service activity, SERVQUAL was used to evaluate participants' expectations and perceptions of the services provided during the Welding Inspector Comprehensive Training and Certification Program. The resulting gap between perception and expectation was used to identify service attributes for which the delivered service had not fully met participant expectations.</w:t>
      </w:r>
      <w:r w:rsidR="007D6724">
        <w:rPr>
          <w:rFonts w:ascii="Palatino Linotype" w:eastAsia="Times New Roman" w:hAnsi="Palatino Linotype" w:cs="Times New Roman"/>
          <w:sz w:val="24"/>
          <w:szCs w:val="24"/>
        </w:rPr>
        <w:t xml:space="preserve"> </w:t>
      </w:r>
      <w:r w:rsidRPr="00F02A07">
        <w:rPr>
          <w:rFonts w:ascii="Palatino Linotype" w:eastAsia="Times New Roman" w:hAnsi="Palatino Linotype" w:cs="Times New Roman"/>
          <w:sz w:val="24"/>
          <w:szCs w:val="24"/>
        </w:rPr>
        <w:t>The SERVQUAL service quality gap was calculated using:</w:t>
      </w:r>
    </w:p>
    <w:p w14:paraId="47F70A89" w14:textId="77777777" w:rsidR="00F02A07" w:rsidRPr="00B0645E" w:rsidRDefault="00000000" w:rsidP="005E4EF3">
      <w:pPr>
        <w:pStyle w:val="TEXTs"/>
        <w:spacing w:after="160" w:line="240" w:lineRule="auto"/>
        <w:ind w:left="720" w:firstLine="720"/>
        <w:rPr>
          <w:rFonts w:ascii="Palatino Linotype" w:eastAsia="Times New Roman" w:hAnsi="Palatino Linotype"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i</m:t>
            </m:r>
          </m:sub>
        </m:sSub>
      </m:oMath>
      <w:r w:rsidR="00F02A07" w:rsidRPr="00B0645E">
        <w:rPr>
          <w:rFonts w:ascii="Palatino Linotype" w:eastAsia="Times New Roman" w:hAnsi="Palatino Linotype" w:cs="Times New Roman"/>
          <w:sz w:val="24"/>
          <w:szCs w:val="24"/>
        </w:rPr>
        <w:tab/>
      </w:r>
      <w:r w:rsidR="00F02A07" w:rsidRPr="00B0645E">
        <w:rPr>
          <w:rFonts w:ascii="Palatino Linotype" w:eastAsia="Times New Roman" w:hAnsi="Palatino Linotype" w:cs="Times New Roman"/>
          <w:sz w:val="24"/>
          <w:szCs w:val="24"/>
        </w:rPr>
        <w:tab/>
      </w:r>
      <w:r w:rsidR="00F02A07" w:rsidRPr="00B0645E">
        <w:rPr>
          <w:rFonts w:ascii="Palatino Linotype" w:eastAsia="Times New Roman" w:hAnsi="Palatino Linotype" w:cs="Times New Roman"/>
          <w:sz w:val="24"/>
          <w:szCs w:val="24"/>
        </w:rPr>
        <w:tab/>
      </w:r>
      <w:r w:rsidR="00F02A07" w:rsidRPr="00B0645E">
        <w:rPr>
          <w:rFonts w:ascii="Palatino Linotype" w:eastAsia="Times New Roman" w:hAnsi="Palatino Linotype" w:cs="Times New Roman"/>
          <w:sz w:val="24"/>
          <w:szCs w:val="24"/>
        </w:rPr>
        <w:tab/>
      </w:r>
      <w:r w:rsidR="00F02A07" w:rsidRPr="00B0645E">
        <w:rPr>
          <w:rFonts w:ascii="Palatino Linotype" w:eastAsia="Times New Roman" w:hAnsi="Palatino Linotype" w:cs="Times New Roman"/>
          <w:sz w:val="24"/>
          <w:szCs w:val="24"/>
        </w:rPr>
        <w:tab/>
      </w:r>
      <w:r w:rsidR="00F02A07" w:rsidRPr="00B0645E">
        <w:rPr>
          <w:rFonts w:ascii="Palatino Linotype" w:eastAsia="Times New Roman" w:hAnsi="Palatino Linotype" w:cs="Times New Roman"/>
          <w:sz w:val="24"/>
          <w:szCs w:val="24"/>
        </w:rPr>
        <w:tab/>
      </w:r>
      <w:r w:rsidR="00F02A07" w:rsidRPr="00B0645E">
        <w:rPr>
          <w:rFonts w:ascii="Palatino Linotype" w:eastAsia="Times New Roman" w:hAnsi="Palatino Linotype" w:cs="Times New Roman"/>
          <w:sz w:val="24"/>
          <w:szCs w:val="24"/>
        </w:rPr>
        <w:tab/>
      </w:r>
      <w:r w:rsidR="00F02A07" w:rsidRPr="00B0645E">
        <w:rPr>
          <w:rFonts w:ascii="Palatino Linotype" w:eastAsia="Times New Roman" w:hAnsi="Palatino Linotype" w:cs="Times New Roman"/>
          <w:sz w:val="24"/>
          <w:szCs w:val="24"/>
        </w:rPr>
        <w:tab/>
      </w:r>
      <w:r w:rsidR="00F02A07" w:rsidRPr="00B0645E">
        <w:rPr>
          <w:rFonts w:ascii="Palatino Linotype" w:eastAsia="Times New Roman" w:hAnsi="Palatino Linotype" w:cs="Times New Roman"/>
          <w:sz w:val="24"/>
          <w:szCs w:val="24"/>
        </w:rPr>
        <w:tab/>
        <w:t>(1)</w:t>
      </w:r>
    </w:p>
    <w:p w14:paraId="6B5C075B" w14:textId="77777777" w:rsidR="00F02A07" w:rsidRDefault="00F02A07" w:rsidP="005E4EF3">
      <w:pPr>
        <w:pStyle w:val="TEXTs"/>
        <w:spacing w:after="0" w:line="240" w:lineRule="auto"/>
        <w:ind w:firstLine="0"/>
        <w:rPr>
          <w:rFonts w:ascii="Palatino Linotype" w:eastAsia="Times New Roman" w:hAnsi="Palatino Linotype" w:cs="Times New Roman"/>
          <w:sz w:val="24"/>
          <w:szCs w:val="24"/>
        </w:rPr>
      </w:pPr>
      <w:r w:rsidRPr="00917760">
        <w:rPr>
          <w:rFonts w:ascii="Palatino Linotype" w:eastAsia="Times New Roman" w:hAnsi="Palatino Linotype" w:cs="Times New Roman"/>
          <w:sz w:val="24"/>
          <w:szCs w:val="24"/>
        </w:rPr>
        <w:t>where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G</m:t>
            </m:r>
          </m:e>
          <m:sub>
            <m:r>
              <w:rPr>
                <w:rFonts w:ascii="Cambria Math" w:eastAsia="Times New Roman" w:hAnsi="Cambria Math" w:cs="Times New Roman"/>
                <w:sz w:val="24"/>
                <w:szCs w:val="24"/>
              </w:rPr>
              <m:t>i</m:t>
            </m:r>
          </m:sub>
        </m:sSub>
      </m:oMath>
      <w:r w:rsidRPr="00917760">
        <w:rPr>
          <w:rFonts w:ascii="Palatino Linotype" w:eastAsia="Times New Roman" w:hAnsi="Palatino Linotype" w:cs="Times New Roman"/>
          <w:sz w:val="24"/>
          <w:szCs w:val="24"/>
        </w:rPr>
        <w:t>) is the service quality gap for attribute (i),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i</m:t>
            </m:r>
          </m:sub>
        </m:sSub>
      </m:oMath>
      <w:r w:rsidRPr="00917760">
        <w:rPr>
          <w:rFonts w:ascii="Palatino Linotype" w:eastAsia="Times New Roman" w:hAnsi="Palatino Linotype" w:cs="Times New Roman"/>
          <w:sz w:val="24"/>
          <w:szCs w:val="24"/>
        </w:rPr>
        <w:t>) is the participant's perception of service performance,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i</m:t>
            </m:r>
          </m:sub>
        </m:sSub>
      </m:oMath>
      <w:r w:rsidRPr="00917760">
        <w:rPr>
          <w:rFonts w:ascii="Palatino Linotype" w:eastAsia="Times New Roman" w:hAnsi="Palatino Linotype" w:cs="Times New Roman"/>
          <w:sz w:val="24"/>
          <w:szCs w:val="24"/>
        </w:rPr>
        <w:t>) is the participant's expectation. A negative value indicates that the perceived service</w:t>
      </w:r>
      <w:r w:rsidRPr="00F02A07">
        <w:rPr>
          <w:rFonts w:ascii="Palatino Linotype" w:eastAsia="Times New Roman" w:hAnsi="Palatino Linotype" w:cs="Times New Roman"/>
          <w:sz w:val="24"/>
          <w:szCs w:val="24"/>
        </w:rPr>
        <w:t xml:space="preserve"> performance is below the participant's expectation, whereas a positive value indicates that the perceived performance exceeds the expectation (Parasuraman et al., 1988).</w:t>
      </w:r>
    </w:p>
    <w:p w14:paraId="44930E57" w14:textId="77777777" w:rsidR="008A5BC2" w:rsidRDefault="008A5BC2" w:rsidP="008A5BC2">
      <w:pPr>
        <w:pStyle w:val="TEXTs"/>
        <w:spacing w:after="0" w:line="240" w:lineRule="auto"/>
        <w:ind w:firstLine="426"/>
        <w:rPr>
          <w:rFonts w:ascii="Palatino Linotype" w:eastAsia="Times New Roman" w:hAnsi="Palatino Linotype" w:cs="Times New Roman"/>
          <w:sz w:val="24"/>
          <w:szCs w:val="24"/>
        </w:rPr>
      </w:pPr>
      <w:r w:rsidRPr="008A5BC2">
        <w:rPr>
          <w:rFonts w:ascii="Palatino Linotype" w:eastAsia="Times New Roman" w:hAnsi="Palatino Linotype" w:cs="Times New Roman"/>
          <w:sz w:val="24"/>
          <w:szCs w:val="24"/>
        </w:rPr>
        <w:t>The application of SERVQUAL in vocational education has also been demonstrated in recent studies. Dzikri et al. (2024) applied the five SERVQUAL dimensions to evaluate educational service quality and student satisfaction in a vocational high school. Their findings indicate that SERVQUAL can provide a structured assessment of educational services by identifying differences between expected and perceived service performance. This supports the application of SERVQUAL in the present evaluation of welding inspection competency training services.</w:t>
      </w:r>
    </w:p>
    <w:p w14:paraId="589A092E" w14:textId="77777777" w:rsidR="001C3BB4" w:rsidRDefault="001C3BB4" w:rsidP="005E4EF3">
      <w:pPr>
        <w:pStyle w:val="TEXTs"/>
        <w:numPr>
          <w:ilvl w:val="1"/>
          <w:numId w:val="3"/>
        </w:numPr>
        <w:spacing w:before="120" w:after="0" w:line="240" w:lineRule="auto"/>
        <w:ind w:left="426" w:hanging="426"/>
        <w:rPr>
          <w:rFonts w:ascii="Palatino Linotype" w:eastAsia="Times New Roman" w:hAnsi="Palatino Linotype" w:cs="Times New Roman"/>
          <w:b/>
          <w:sz w:val="24"/>
          <w:szCs w:val="24"/>
        </w:rPr>
      </w:pPr>
      <w:r w:rsidRPr="00566606">
        <w:rPr>
          <w:rFonts w:ascii="Palatino Linotype" w:eastAsia="Times New Roman" w:hAnsi="Palatino Linotype" w:cs="Times New Roman"/>
          <w:b/>
          <w:sz w:val="24"/>
          <w:szCs w:val="24"/>
        </w:rPr>
        <w:t>Service Conformity Level</w:t>
      </w:r>
    </w:p>
    <w:p w14:paraId="285F00EE" w14:textId="77777777" w:rsidR="00F02A07" w:rsidRPr="00F02A07" w:rsidRDefault="00F02A07" w:rsidP="00EE269A">
      <w:pPr>
        <w:pStyle w:val="TEXTs"/>
        <w:spacing w:after="0" w:line="240" w:lineRule="auto"/>
        <w:ind w:firstLine="426"/>
        <w:rPr>
          <w:rFonts w:ascii="Palatino Linotype" w:eastAsia="Times New Roman" w:hAnsi="Palatino Linotype" w:cs="Times New Roman"/>
          <w:sz w:val="24"/>
          <w:szCs w:val="24"/>
        </w:rPr>
      </w:pPr>
      <w:r w:rsidRPr="00F02A07">
        <w:rPr>
          <w:rFonts w:ascii="Palatino Linotype" w:eastAsia="Times New Roman" w:hAnsi="Palatino Linotype" w:cs="Times New Roman"/>
          <w:sz w:val="24"/>
          <w:szCs w:val="24"/>
        </w:rPr>
        <w:t xml:space="preserve">In addition to identifying service quality gaps, evaluating the degree of conformity between the service delivered and participant expectations provides </w:t>
      </w:r>
      <w:r w:rsidRPr="00F02A07">
        <w:rPr>
          <w:rFonts w:ascii="Palatino Linotype" w:eastAsia="Times New Roman" w:hAnsi="Palatino Linotype" w:cs="Times New Roman"/>
          <w:sz w:val="24"/>
          <w:szCs w:val="24"/>
        </w:rPr>
        <w:lastRenderedPageBreak/>
        <w:t>another perspective for assessing training service performance. The service conformity level indicates the extent to which the actual service performance corresponds to the level expected by participants.</w:t>
      </w:r>
    </w:p>
    <w:p w14:paraId="5FB36E6B" w14:textId="77777777" w:rsidR="00F02A07" w:rsidRDefault="00F02A07" w:rsidP="005E4EF3">
      <w:pPr>
        <w:pStyle w:val="TEXTs"/>
        <w:spacing w:after="160" w:line="240" w:lineRule="auto"/>
        <w:ind w:firstLine="426"/>
        <w:rPr>
          <w:rFonts w:ascii="Palatino Linotype" w:eastAsia="Times New Roman" w:hAnsi="Palatino Linotype" w:cs="Times New Roman"/>
          <w:sz w:val="24"/>
          <w:szCs w:val="24"/>
        </w:rPr>
      </w:pPr>
      <w:r w:rsidRPr="00F02A07">
        <w:rPr>
          <w:rFonts w:ascii="Palatino Linotype" w:eastAsia="Times New Roman" w:hAnsi="Palatino Linotype" w:cs="Times New Roman"/>
          <w:sz w:val="24"/>
          <w:szCs w:val="24"/>
        </w:rPr>
        <w:t>The conformity level can be calculated by comparing the perception or performance score with the expectation score using the following equation:</w:t>
      </w:r>
    </w:p>
    <w:p w14:paraId="019FF569" w14:textId="77777777" w:rsidR="00F02A07" w:rsidRPr="009E2E9C" w:rsidRDefault="00917760" w:rsidP="005E4EF3">
      <w:pPr>
        <w:pStyle w:val="TEXTs"/>
        <w:spacing w:after="160" w:line="240" w:lineRule="auto"/>
        <w:ind w:left="720" w:firstLine="720"/>
        <w:rPr>
          <w:rFonts w:ascii="Palatino Linotype" w:eastAsia="Times New Roman" w:hAnsi="Palatino Linotype" w:cs="Times New Roman"/>
          <w:sz w:val="24"/>
          <w:szCs w:val="24"/>
        </w:rPr>
      </w:pPr>
      <m:oMath>
        <m:r>
          <w:rPr>
            <w:rFonts w:ascii="Cambria Math" w:eastAsia="Times New Roman" w:hAnsi="Cambria Math" w:cs="Times New Roman"/>
            <w:sz w:val="24"/>
            <w:szCs w:val="24"/>
          </w:rPr>
          <m:t>Tki=</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i</m:t>
                </m:r>
              </m:sub>
            </m:sSub>
          </m:den>
        </m:f>
        <m:r>
          <w:rPr>
            <w:rFonts w:ascii="Cambria Math" w:eastAsia="Times New Roman" w:hAnsi="Cambria Math" w:cs="Times New Roman"/>
            <w:sz w:val="24"/>
            <w:szCs w:val="24"/>
          </w:rPr>
          <m:t>×100%</m:t>
        </m:r>
      </m:oMath>
      <w:r w:rsidRPr="009E2E9C">
        <w:rPr>
          <w:rFonts w:ascii="Palatino Linotype" w:eastAsia="Times New Roman" w:hAnsi="Palatino Linotype" w:cs="Times New Roman"/>
          <w:sz w:val="24"/>
          <w:szCs w:val="24"/>
        </w:rPr>
        <w:tab/>
      </w:r>
      <w:r w:rsidRPr="009E2E9C">
        <w:rPr>
          <w:rFonts w:ascii="Palatino Linotype" w:eastAsia="Times New Roman" w:hAnsi="Palatino Linotype" w:cs="Times New Roman"/>
          <w:sz w:val="24"/>
          <w:szCs w:val="24"/>
        </w:rPr>
        <w:tab/>
      </w:r>
      <w:r w:rsidRPr="009E2E9C">
        <w:rPr>
          <w:rFonts w:ascii="Palatino Linotype" w:eastAsia="Times New Roman" w:hAnsi="Palatino Linotype" w:cs="Times New Roman"/>
          <w:sz w:val="24"/>
          <w:szCs w:val="24"/>
        </w:rPr>
        <w:tab/>
      </w:r>
      <w:r w:rsidRPr="009E2E9C">
        <w:rPr>
          <w:rFonts w:ascii="Palatino Linotype" w:eastAsia="Times New Roman" w:hAnsi="Palatino Linotype" w:cs="Times New Roman"/>
          <w:sz w:val="24"/>
          <w:szCs w:val="24"/>
        </w:rPr>
        <w:tab/>
      </w:r>
      <w:r w:rsidRPr="009E2E9C">
        <w:rPr>
          <w:rFonts w:ascii="Palatino Linotype" w:eastAsia="Times New Roman" w:hAnsi="Palatino Linotype" w:cs="Times New Roman"/>
          <w:sz w:val="24"/>
          <w:szCs w:val="24"/>
        </w:rPr>
        <w:tab/>
      </w:r>
      <w:r w:rsidRPr="009E2E9C">
        <w:rPr>
          <w:rFonts w:ascii="Palatino Linotype" w:eastAsia="Times New Roman" w:hAnsi="Palatino Linotype" w:cs="Times New Roman"/>
          <w:sz w:val="24"/>
          <w:szCs w:val="24"/>
        </w:rPr>
        <w:tab/>
      </w:r>
      <w:r w:rsidRPr="009E2E9C">
        <w:rPr>
          <w:rFonts w:ascii="Palatino Linotype" w:eastAsia="Times New Roman" w:hAnsi="Palatino Linotype" w:cs="Times New Roman"/>
          <w:sz w:val="24"/>
          <w:szCs w:val="24"/>
        </w:rPr>
        <w:tab/>
      </w:r>
      <w:r w:rsidRPr="009E2E9C">
        <w:rPr>
          <w:rFonts w:ascii="Palatino Linotype" w:eastAsia="Times New Roman" w:hAnsi="Palatino Linotype" w:cs="Times New Roman"/>
          <w:sz w:val="24"/>
          <w:szCs w:val="24"/>
        </w:rPr>
        <w:tab/>
        <w:t>(2)</w:t>
      </w:r>
    </w:p>
    <w:p w14:paraId="70967E41" w14:textId="77777777" w:rsidR="00F02A07" w:rsidRPr="00F02A07" w:rsidRDefault="00F02A07" w:rsidP="005E4EF3">
      <w:pPr>
        <w:pStyle w:val="TEXTs"/>
        <w:spacing w:after="0" w:line="240" w:lineRule="auto"/>
        <w:ind w:firstLine="0"/>
        <w:rPr>
          <w:rFonts w:ascii="Palatino Linotype" w:eastAsia="Times New Roman" w:hAnsi="Palatino Linotype" w:cs="Times New Roman"/>
          <w:sz w:val="24"/>
          <w:szCs w:val="24"/>
        </w:rPr>
      </w:pPr>
      <w:r w:rsidRPr="00917760">
        <w:rPr>
          <w:rFonts w:ascii="Palatino Linotype" w:eastAsia="Times New Roman" w:hAnsi="Palatino Linotype" w:cs="Times New Roman"/>
          <w:sz w:val="24"/>
          <w:szCs w:val="24"/>
        </w:rPr>
        <w:t>where (</w:t>
      </w:r>
      <m:oMath>
        <m:r>
          <w:rPr>
            <w:rFonts w:ascii="Cambria Math" w:eastAsia="Times New Roman" w:hAnsi="Cambria Math" w:cs="Times New Roman"/>
            <w:sz w:val="24"/>
            <w:szCs w:val="24"/>
          </w:rPr>
          <m:t>Tki</m:t>
        </m:r>
      </m:oMath>
      <w:r w:rsidRPr="00917760">
        <w:rPr>
          <w:rFonts w:ascii="Palatino Linotype" w:eastAsia="Times New Roman" w:hAnsi="Palatino Linotype" w:cs="Times New Roman"/>
          <w:sz w:val="24"/>
          <w:szCs w:val="24"/>
        </w:rPr>
        <w:t>) represents the service conform</w:t>
      </w:r>
      <w:r w:rsidR="00917760" w:rsidRPr="00917760">
        <w:rPr>
          <w:rFonts w:ascii="Palatino Linotype" w:eastAsia="Times New Roman" w:hAnsi="Palatino Linotype" w:cs="Times New Roman"/>
          <w:sz w:val="24"/>
          <w:szCs w:val="24"/>
        </w:rPr>
        <w:t>ity level for attribute (i),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m:t>
            </m:r>
          </m:sub>
        </m:sSub>
      </m:oMath>
      <w:r w:rsidRPr="00917760">
        <w:rPr>
          <w:rFonts w:ascii="Palatino Linotype" w:eastAsia="Times New Roman" w:hAnsi="Palatino Linotype" w:cs="Times New Roman"/>
          <w:sz w:val="24"/>
          <w:szCs w:val="24"/>
        </w:rPr>
        <w:t>) represents the perc</w:t>
      </w:r>
      <w:r w:rsidR="00917760" w:rsidRPr="00917760">
        <w:rPr>
          <w:rFonts w:ascii="Palatino Linotype" w:eastAsia="Times New Roman" w:hAnsi="Palatino Linotype" w:cs="Times New Roman"/>
          <w:sz w:val="24"/>
          <w:szCs w:val="24"/>
        </w:rPr>
        <w:t>eived performance score,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i</m:t>
            </m:r>
          </m:sub>
        </m:sSub>
      </m:oMath>
      <w:r w:rsidRPr="00917760">
        <w:rPr>
          <w:rFonts w:ascii="Palatino Linotype" w:eastAsia="Times New Roman" w:hAnsi="Palatino Linotype" w:cs="Times New Roman"/>
          <w:sz w:val="24"/>
          <w:szCs w:val="24"/>
        </w:rPr>
        <w:t>) represents the expectation score for the same attribute. A conformity value approaching or exceeding 100% indicates that the delivered service has met or exceeded participant expectations, whereas a value below 100% indicates that service performance has</w:t>
      </w:r>
      <w:r w:rsidRPr="00F02A07">
        <w:rPr>
          <w:rFonts w:ascii="Palatino Linotype" w:eastAsia="Times New Roman" w:hAnsi="Palatino Linotype" w:cs="Times New Roman"/>
          <w:sz w:val="24"/>
          <w:szCs w:val="24"/>
        </w:rPr>
        <w:t xml:space="preserve"> not fully met expectations.</w:t>
      </w:r>
    </w:p>
    <w:p w14:paraId="58767DE5" w14:textId="77777777" w:rsidR="00F02A07" w:rsidRPr="00F02A07" w:rsidRDefault="00F02A07" w:rsidP="005E4EF3">
      <w:pPr>
        <w:pStyle w:val="TEXTs"/>
        <w:spacing w:after="0" w:line="240" w:lineRule="auto"/>
        <w:ind w:firstLine="426"/>
        <w:rPr>
          <w:rFonts w:ascii="Palatino Linotype" w:eastAsia="Times New Roman" w:hAnsi="Palatino Linotype" w:cs="Times New Roman"/>
          <w:sz w:val="24"/>
          <w:szCs w:val="24"/>
        </w:rPr>
      </w:pPr>
      <w:r w:rsidRPr="00F02A07">
        <w:rPr>
          <w:rFonts w:ascii="Palatino Linotype" w:eastAsia="Times New Roman" w:hAnsi="Palatino Linotype" w:cs="Times New Roman"/>
          <w:sz w:val="24"/>
          <w:szCs w:val="24"/>
        </w:rPr>
        <w:t>The service conformity level provides a quantitative interpretation that complements SERVQUAL gap analysis. While the SERVQUAL gap identifies the direction and magnitude of the discrepancy between expectations and perceptions, the conformity level expresses the relationship in percentage terms. This information can therefore be used by training providers to assess the extent to which their services correspond to participant expectations and to support the identification of aspects requiring improvement.</w:t>
      </w:r>
    </w:p>
    <w:p w14:paraId="54C8B05A" w14:textId="77777777" w:rsidR="0034160E" w:rsidRPr="00AF6C84" w:rsidRDefault="0034160E" w:rsidP="005E4EF3">
      <w:pPr>
        <w:pStyle w:val="TEXTs"/>
        <w:spacing w:after="0" w:line="240" w:lineRule="auto"/>
        <w:ind w:firstLine="426"/>
        <w:rPr>
          <w:rFonts w:ascii="Palatino Linotype" w:eastAsia="Times New Roman" w:hAnsi="Palatino Linotype" w:cs="Times New Roman"/>
          <w:sz w:val="28"/>
          <w:szCs w:val="24"/>
        </w:rPr>
      </w:pPr>
      <w:r w:rsidRPr="00AF6C84">
        <w:rPr>
          <w:rFonts w:ascii="Palatino Linotype" w:hAnsi="Palatino Linotype"/>
          <w:sz w:val="24"/>
        </w:rPr>
        <w:t>The application of Importance–Performance Analysis in vocational education has also been used to identify service attributes requiring priority improvement. Ahmad and Wardhani (2023) demonstrated that IPA can be applied to evaluate service quality in vocational higher education and to identify aspects that require managerial attention. This supports the use of an expectation–performance matrix in the present activity to identify priority areas for improving the quality of vocational training services.</w:t>
      </w:r>
    </w:p>
    <w:p w14:paraId="322257B2" w14:textId="77777777" w:rsidR="00F02A07" w:rsidRDefault="00F02A07" w:rsidP="005E4EF3">
      <w:pPr>
        <w:pStyle w:val="TEXTs"/>
        <w:spacing w:after="0" w:line="240" w:lineRule="auto"/>
        <w:ind w:firstLine="426"/>
        <w:rPr>
          <w:rFonts w:ascii="Palatino Linotype" w:eastAsia="Times New Roman" w:hAnsi="Palatino Linotype" w:cs="Times New Roman"/>
          <w:sz w:val="24"/>
          <w:szCs w:val="24"/>
        </w:rPr>
      </w:pPr>
      <w:r w:rsidRPr="00F02A07">
        <w:rPr>
          <w:rFonts w:ascii="Palatino Linotype" w:eastAsia="Times New Roman" w:hAnsi="Palatino Linotype" w:cs="Times New Roman"/>
          <w:sz w:val="24"/>
          <w:szCs w:val="24"/>
        </w:rPr>
        <w:t>In the context of the Welding Inspector Comprehensive Training and Certification Program, the conformity analysis was used to provide PPNS with an additional measure of service performance from the participants' perspective. The results were considered together with the SERVQUAL gap and IPA analysis to obtain a more comprehensive basis for service improvement.</w:t>
      </w:r>
    </w:p>
    <w:p w14:paraId="6A8B09D3" w14:textId="77777777" w:rsidR="001C3BB4" w:rsidRPr="00566606" w:rsidRDefault="001C3BB4" w:rsidP="00EE269A">
      <w:pPr>
        <w:pStyle w:val="TEXTs"/>
        <w:numPr>
          <w:ilvl w:val="1"/>
          <w:numId w:val="3"/>
        </w:numPr>
        <w:spacing w:before="120" w:after="0" w:line="240" w:lineRule="auto"/>
        <w:ind w:left="426" w:hanging="426"/>
        <w:rPr>
          <w:rFonts w:ascii="Palatino Linotype" w:eastAsia="Times New Roman" w:hAnsi="Palatino Linotype" w:cs="Times New Roman"/>
          <w:b/>
          <w:sz w:val="24"/>
          <w:szCs w:val="24"/>
        </w:rPr>
      </w:pPr>
      <w:r w:rsidRPr="00566606">
        <w:rPr>
          <w:rFonts w:ascii="Palatino Linotype" w:eastAsia="Times New Roman" w:hAnsi="Palatino Linotype" w:cs="Times New Roman"/>
          <w:b/>
          <w:sz w:val="24"/>
          <w:szCs w:val="24"/>
        </w:rPr>
        <w:t>Importance–Performance Analysis (IPA)</w:t>
      </w:r>
    </w:p>
    <w:bookmarkEnd w:id="0"/>
    <w:p w14:paraId="7304CC66" w14:textId="77777777" w:rsidR="00917760" w:rsidRPr="00917760" w:rsidRDefault="00917760" w:rsidP="005E4EF3">
      <w:pPr>
        <w:pStyle w:val="TEXTs"/>
        <w:tabs>
          <w:tab w:val="left" w:pos="450"/>
        </w:tabs>
        <w:spacing w:after="0" w:line="240" w:lineRule="auto"/>
        <w:ind w:firstLine="448"/>
        <w:rPr>
          <w:rFonts w:ascii="Palatino Linotype" w:eastAsia="Times New Roman" w:hAnsi="Palatino Linotype" w:cs="Times New Roman"/>
          <w:sz w:val="24"/>
          <w:szCs w:val="24"/>
          <w:lang w:val="id-ID"/>
        </w:rPr>
      </w:pPr>
      <w:r w:rsidRPr="00917760">
        <w:rPr>
          <w:rFonts w:ascii="Palatino Linotype" w:eastAsia="Times New Roman" w:hAnsi="Palatino Linotype" w:cs="Times New Roman"/>
          <w:sz w:val="24"/>
          <w:szCs w:val="24"/>
          <w:lang w:val="id-ID"/>
        </w:rPr>
        <w:t>Importance–Performance Analysis (IPA) is a framework for evaluating service attributes by simultaneously considering their importance to users and their perceived performance. Martilla and James (1977) introduced IPA as a practical analytical technique for identifying attributes that should receive managerial attention. The method represents the evaluated attributes in a two-dimensional matrix based on importance and performance scores.</w:t>
      </w:r>
    </w:p>
    <w:p w14:paraId="1A2262B6" w14:textId="77777777" w:rsidR="00917760" w:rsidRPr="00917760" w:rsidRDefault="00917760" w:rsidP="005E4EF3">
      <w:pPr>
        <w:pStyle w:val="TEXTs"/>
        <w:tabs>
          <w:tab w:val="left" w:pos="450"/>
        </w:tabs>
        <w:spacing w:after="0" w:line="240" w:lineRule="auto"/>
        <w:ind w:firstLine="448"/>
        <w:rPr>
          <w:rFonts w:ascii="Palatino Linotype" w:eastAsia="Times New Roman" w:hAnsi="Palatino Linotype" w:cs="Times New Roman"/>
          <w:sz w:val="24"/>
          <w:szCs w:val="24"/>
          <w:lang w:val="id-ID"/>
        </w:rPr>
      </w:pPr>
      <w:r w:rsidRPr="00917760">
        <w:rPr>
          <w:rFonts w:ascii="Palatino Linotype" w:eastAsia="Times New Roman" w:hAnsi="Palatino Linotype" w:cs="Times New Roman"/>
          <w:sz w:val="24"/>
          <w:szCs w:val="24"/>
          <w:lang w:val="id-ID"/>
        </w:rPr>
        <w:t xml:space="preserve">IPA divides service attributes into four quadrants. Quadrant I (Concentrate Here) contains attributes with high importance but relatively low performance and therefore represents the primary area for improvement. Quadrant II (Keep Up the Good Work) consists of attributes with high importance and high performance that should be </w:t>
      </w:r>
      <w:r w:rsidRPr="00917760">
        <w:rPr>
          <w:rFonts w:ascii="Palatino Linotype" w:eastAsia="Times New Roman" w:hAnsi="Palatino Linotype" w:cs="Times New Roman"/>
          <w:sz w:val="24"/>
          <w:szCs w:val="24"/>
          <w:lang w:val="id-ID"/>
        </w:rPr>
        <w:lastRenderedPageBreak/>
        <w:t xml:space="preserve">maintained. Quadrant III (Low Priority) contains attributes with low importance and low performance, indicating that immediate improvement may not be necessary. Quadrant IV (Possible Overkill) contains attributes with low importance but high performance, suggesting that resources may be allocated beyond users' perceived needs </w:t>
      </w:r>
      <w:sdt>
        <w:sdtPr>
          <w:rPr>
            <w:rFonts w:ascii="Palatino Linotype" w:eastAsia="Times New Roman" w:hAnsi="Palatino Linotype" w:cs="Times New Roman"/>
            <w:sz w:val="24"/>
            <w:szCs w:val="24"/>
            <w:lang w:val="id-ID"/>
          </w:rPr>
          <w:id w:val="-157608021"/>
          <w:citation/>
        </w:sdtPr>
        <w:sdtContent>
          <w:r w:rsidR="009E2E9C">
            <w:rPr>
              <w:rFonts w:ascii="Palatino Linotype" w:eastAsia="Times New Roman" w:hAnsi="Palatino Linotype" w:cs="Times New Roman"/>
              <w:sz w:val="24"/>
              <w:szCs w:val="24"/>
              <w:lang w:val="id-ID"/>
            </w:rPr>
            <w:fldChar w:fldCharType="begin"/>
          </w:r>
          <w:r w:rsidR="009E2E9C">
            <w:rPr>
              <w:rFonts w:ascii="Palatino Linotype" w:eastAsia="Times New Roman" w:hAnsi="Palatino Linotype" w:cs="Times New Roman"/>
              <w:sz w:val="24"/>
              <w:szCs w:val="24"/>
            </w:rPr>
            <w:instrText xml:space="preserve"> CITATION Mar77 \l 1033 </w:instrText>
          </w:r>
          <w:r w:rsidR="009E2E9C">
            <w:rPr>
              <w:rFonts w:ascii="Palatino Linotype" w:eastAsia="Times New Roman" w:hAnsi="Palatino Linotype" w:cs="Times New Roman"/>
              <w:sz w:val="24"/>
              <w:szCs w:val="24"/>
              <w:lang w:val="id-ID"/>
            </w:rPr>
            <w:fldChar w:fldCharType="separate"/>
          </w:r>
          <w:r w:rsidR="0034160E" w:rsidRPr="0034160E">
            <w:rPr>
              <w:rFonts w:ascii="Palatino Linotype" w:eastAsia="Times New Roman" w:hAnsi="Palatino Linotype" w:cs="Times New Roman"/>
              <w:noProof/>
              <w:sz w:val="24"/>
              <w:szCs w:val="24"/>
            </w:rPr>
            <w:t>(Martilla &amp; James, 1977)</w:t>
          </w:r>
          <w:r w:rsidR="009E2E9C">
            <w:rPr>
              <w:rFonts w:ascii="Palatino Linotype" w:eastAsia="Times New Roman" w:hAnsi="Palatino Linotype" w:cs="Times New Roman"/>
              <w:sz w:val="24"/>
              <w:szCs w:val="24"/>
              <w:lang w:val="id-ID"/>
            </w:rPr>
            <w:fldChar w:fldCharType="end"/>
          </w:r>
        </w:sdtContent>
      </w:sdt>
    </w:p>
    <w:p w14:paraId="3431AB1F" w14:textId="77777777" w:rsidR="00917760" w:rsidRPr="00917760" w:rsidRDefault="00917760" w:rsidP="005E4EF3">
      <w:pPr>
        <w:pStyle w:val="TEXTs"/>
        <w:tabs>
          <w:tab w:val="left" w:pos="450"/>
        </w:tabs>
        <w:spacing w:after="0" w:line="240" w:lineRule="auto"/>
        <w:ind w:firstLine="448"/>
        <w:rPr>
          <w:rFonts w:ascii="Palatino Linotype" w:eastAsia="Times New Roman" w:hAnsi="Palatino Linotype" w:cs="Times New Roman"/>
          <w:sz w:val="24"/>
          <w:szCs w:val="24"/>
          <w:lang w:val="id-ID"/>
        </w:rPr>
      </w:pPr>
      <w:r w:rsidRPr="00917760">
        <w:rPr>
          <w:rFonts w:ascii="Palatino Linotype" w:eastAsia="Times New Roman" w:hAnsi="Palatino Linotype" w:cs="Times New Roman"/>
          <w:sz w:val="24"/>
          <w:szCs w:val="24"/>
          <w:lang w:val="id-ID"/>
        </w:rPr>
        <w:t>IPA has continued to be applied in educational service quality evaluation because it provides a visual and practical approach for translating participant perceptions into improvement priorities. Raharjo et al. (2023) demonstrated the application of IPA in an integrated higher education service satisfaction framework, while Surtiningtyas and Saputra (2023) incorporated IPA into the evaluation of service quality in vocational higher education.</w:t>
      </w:r>
    </w:p>
    <w:p w14:paraId="707E9748" w14:textId="77777777" w:rsidR="00917760" w:rsidRPr="00917760" w:rsidRDefault="00917760" w:rsidP="005E4EF3">
      <w:pPr>
        <w:pStyle w:val="TEXTs"/>
        <w:tabs>
          <w:tab w:val="left" w:pos="450"/>
        </w:tabs>
        <w:spacing w:after="0" w:line="240" w:lineRule="auto"/>
        <w:ind w:firstLine="448"/>
        <w:rPr>
          <w:rFonts w:ascii="Palatino Linotype" w:eastAsia="Times New Roman" w:hAnsi="Palatino Linotype" w:cs="Times New Roman"/>
          <w:sz w:val="24"/>
          <w:szCs w:val="24"/>
          <w:lang w:val="id-ID"/>
        </w:rPr>
      </w:pPr>
      <w:r w:rsidRPr="00917760">
        <w:rPr>
          <w:rFonts w:ascii="Palatino Linotype" w:eastAsia="Times New Roman" w:hAnsi="Palatino Linotype" w:cs="Times New Roman"/>
          <w:sz w:val="24"/>
          <w:szCs w:val="24"/>
          <w:lang w:val="id-ID"/>
        </w:rPr>
        <w:t>In this community service activity, IPA was used to identify the service attributes of the Welding Inspector Comprehensive Training and Certification Program that required priority attention. The results of IPA were interpreted together with the SERVQUAL gap and service conformity level to provide PPNS with actionable information for improving the quality of training and certification services.</w:t>
      </w:r>
    </w:p>
    <w:p w14:paraId="437E88E3" w14:textId="77777777" w:rsidR="00DF3020" w:rsidRPr="001D3F98" w:rsidRDefault="00917760" w:rsidP="009E2E9C">
      <w:pPr>
        <w:pStyle w:val="TEXTs"/>
        <w:tabs>
          <w:tab w:val="left" w:pos="450"/>
        </w:tabs>
        <w:spacing w:after="0" w:line="240" w:lineRule="auto"/>
        <w:ind w:firstLine="448"/>
        <w:rPr>
          <w:rFonts w:ascii="Palatino Linotype" w:eastAsia="Times New Roman" w:hAnsi="Palatino Linotype" w:cs="Times New Roman"/>
          <w:sz w:val="24"/>
          <w:szCs w:val="24"/>
          <w:lang w:val="id-ID"/>
        </w:rPr>
      </w:pPr>
      <w:r w:rsidRPr="00917760">
        <w:rPr>
          <w:rFonts w:ascii="Palatino Linotype" w:eastAsia="Times New Roman" w:hAnsi="Palatino Linotype" w:cs="Times New Roman"/>
          <w:sz w:val="24"/>
          <w:szCs w:val="24"/>
          <w:lang w:val="id-ID"/>
        </w:rPr>
        <w:t>The integration of SERVQUAL, service conformity analysis, and IPA provides three complementary perspectives. SERVQUAL identifies the discrepancy between participant expectations and perceptions, the conformity level quantifies the degree to which service performance corresponds to expectations, and IPA determines the priority of service attributes for improvement. This integrated approach enables the evaluation results to be translated into practical recommendations for continuous improvement of the training and certification services provided by PPNS.</w:t>
      </w:r>
    </w:p>
    <w:p w14:paraId="68563D4F" w14:textId="77777777" w:rsidR="00DF3020" w:rsidRDefault="00DF3020">
      <w:pPr>
        <w:pStyle w:val="TEXTs"/>
        <w:tabs>
          <w:tab w:val="left" w:pos="450"/>
        </w:tabs>
        <w:spacing w:after="0" w:line="240" w:lineRule="auto"/>
        <w:ind w:firstLine="0"/>
        <w:rPr>
          <w:rFonts w:ascii="Palatino Linotype" w:eastAsia="Times New Roman" w:hAnsi="Palatino Linotype" w:cs="Times New Roman"/>
          <w:b/>
          <w:bCs/>
          <w:sz w:val="24"/>
          <w:szCs w:val="24"/>
          <w:lang w:val="id-ID"/>
        </w:rPr>
      </w:pPr>
    </w:p>
    <w:p w14:paraId="4F7AFF87" w14:textId="77777777" w:rsidR="00DF3020" w:rsidRPr="00F830D5" w:rsidRDefault="00E7349D">
      <w:pPr>
        <w:pStyle w:val="TEXTs"/>
        <w:tabs>
          <w:tab w:val="left" w:pos="450"/>
        </w:tabs>
        <w:spacing w:after="0" w:line="240" w:lineRule="auto"/>
        <w:ind w:firstLine="0"/>
        <w:rPr>
          <w:rFonts w:ascii="Palatino Linotype" w:eastAsia="Times New Roman" w:hAnsi="Palatino Linotype" w:cs="Times New Roman"/>
          <w:b/>
          <w:bCs/>
          <w:sz w:val="24"/>
          <w:szCs w:val="24"/>
        </w:rPr>
      </w:pPr>
      <w:r w:rsidRPr="001D3F98">
        <w:rPr>
          <w:rFonts w:ascii="Palatino Linotype" w:eastAsia="Times New Roman" w:hAnsi="Palatino Linotype" w:cs="Times New Roman"/>
          <w:b/>
          <w:bCs/>
          <w:sz w:val="24"/>
          <w:szCs w:val="24"/>
          <w:lang w:val="id-ID"/>
        </w:rPr>
        <w:t>3.</w:t>
      </w:r>
      <w:r w:rsidRPr="001D3F98">
        <w:rPr>
          <w:rFonts w:ascii="Palatino Linotype" w:hAnsi="Palatino Linotype" w:cs="Times New Roman"/>
        </w:rPr>
        <w:tab/>
      </w:r>
      <w:r w:rsidR="00E05D5C" w:rsidRPr="00F830D5">
        <w:rPr>
          <w:rFonts w:ascii="Palatino Linotype" w:eastAsia="Times New Roman" w:hAnsi="Palatino Linotype" w:cs="Times New Roman"/>
          <w:b/>
          <w:bCs/>
          <w:sz w:val="24"/>
          <w:szCs w:val="24"/>
        </w:rPr>
        <w:t>Method</w:t>
      </w:r>
    </w:p>
    <w:p w14:paraId="3CA9B33D" w14:textId="77777777" w:rsidR="00C3156D" w:rsidRPr="00F830D5" w:rsidRDefault="00C3156D" w:rsidP="008A174C">
      <w:pPr>
        <w:pStyle w:val="ListParagraph"/>
        <w:numPr>
          <w:ilvl w:val="1"/>
          <w:numId w:val="4"/>
        </w:numPr>
        <w:tabs>
          <w:tab w:val="left" w:pos="450"/>
        </w:tabs>
        <w:spacing w:after="0"/>
        <w:ind w:left="426" w:hanging="426"/>
        <w:jc w:val="both"/>
        <w:rPr>
          <w:rFonts w:ascii="Palatino Linotype" w:eastAsia="Times New Roman" w:hAnsi="Palatino Linotype" w:cs="Times New Roman"/>
          <w:b/>
          <w:sz w:val="24"/>
          <w:szCs w:val="24"/>
        </w:rPr>
      </w:pPr>
      <w:r w:rsidRPr="00F830D5">
        <w:rPr>
          <w:rFonts w:ascii="Palatino Linotype" w:eastAsia="Times New Roman" w:hAnsi="Palatino Linotype" w:cs="Times New Roman"/>
          <w:b/>
          <w:sz w:val="24"/>
          <w:szCs w:val="24"/>
        </w:rPr>
        <w:t>Community Service Design and Setting</w:t>
      </w:r>
    </w:p>
    <w:p w14:paraId="554DF2CA" w14:textId="77777777" w:rsidR="00C3156D" w:rsidRPr="00C3156D" w:rsidRDefault="00F830D5" w:rsidP="005E4EF3">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F830D5">
        <w:rPr>
          <w:rFonts w:ascii="Palatino Linotype" w:eastAsia="Times New Roman" w:hAnsi="Palatino Linotype" w:cs="Times New Roman"/>
          <w:sz w:val="24"/>
          <w:szCs w:val="24"/>
        </w:rPr>
        <w:t>This community service activity was conducted to support the continuous improvement of the Welding Inspector Comprehensive Training and Certification Pr</w:t>
      </w:r>
      <w:r>
        <w:rPr>
          <w:rFonts w:ascii="Palatino Linotype" w:eastAsia="Times New Roman" w:hAnsi="Palatino Linotype" w:cs="Times New Roman"/>
          <w:sz w:val="24"/>
          <w:szCs w:val="24"/>
        </w:rPr>
        <w:t>ogram organized by PPNS</w:t>
      </w:r>
      <w:r w:rsidRPr="00F830D5">
        <w:rPr>
          <w:rFonts w:ascii="Palatino Linotype" w:eastAsia="Times New Roman" w:hAnsi="Palatino Linotype" w:cs="Times New Roman"/>
          <w:sz w:val="24"/>
          <w:szCs w:val="24"/>
        </w:rPr>
        <w:t>. The activity focused on evaluating the quality of training and certification services from the perspective of participants and providing evidence-based recommendations for improving the quality of service delivery.</w:t>
      </w:r>
    </w:p>
    <w:p w14:paraId="2A68221A" w14:textId="77777777" w:rsidR="00C3156D" w:rsidRPr="00C3156D" w:rsidRDefault="00F830D5" w:rsidP="005E4EF3">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F830D5">
        <w:rPr>
          <w:rFonts w:ascii="Palatino Linotype" w:eastAsia="Times New Roman" w:hAnsi="Palatino Linotype" w:cs="Times New Roman"/>
          <w:sz w:val="24"/>
          <w:szCs w:val="24"/>
        </w:rPr>
        <w:t>The Welding Inspector Comprehensive Training and Certification Program is a professional competency development program conducted by PPN</w:t>
      </w:r>
      <w:r>
        <w:rPr>
          <w:rFonts w:ascii="Palatino Linotype" w:eastAsia="Times New Roman" w:hAnsi="Palatino Linotype" w:cs="Times New Roman"/>
          <w:sz w:val="24"/>
          <w:szCs w:val="24"/>
        </w:rPr>
        <w:t>S in collaboration with LSP</w:t>
      </w:r>
      <w:r w:rsidRPr="00F830D5">
        <w:rPr>
          <w:rFonts w:ascii="Palatino Linotype" w:eastAsia="Times New Roman" w:hAnsi="Palatino Linotype" w:cs="Times New Roman"/>
          <w:sz w:val="24"/>
          <w:szCs w:val="24"/>
        </w:rPr>
        <w:t>. The program provides participants with theoretical and practical competencies required for welding inspection and comp</w:t>
      </w:r>
      <w:r w:rsidR="009E2E9C">
        <w:rPr>
          <w:rFonts w:ascii="Palatino Linotype" w:eastAsia="Times New Roman" w:hAnsi="Palatino Linotype" w:cs="Times New Roman"/>
          <w:sz w:val="24"/>
          <w:szCs w:val="24"/>
        </w:rPr>
        <w:t>etency certification. By 2026</w:t>
      </w:r>
      <w:r w:rsidRPr="00F830D5">
        <w:rPr>
          <w:rFonts w:ascii="Palatino Linotype" w:eastAsia="Times New Roman" w:hAnsi="Palatino Linotype" w:cs="Times New Roman"/>
          <w:sz w:val="24"/>
          <w:szCs w:val="24"/>
        </w:rPr>
        <w:t>, the program</w:t>
      </w:r>
      <w:r>
        <w:rPr>
          <w:rFonts w:ascii="Palatino Linotype" w:eastAsia="Times New Roman" w:hAnsi="Palatino Linotype" w:cs="Times New Roman"/>
          <w:sz w:val="24"/>
          <w:szCs w:val="24"/>
        </w:rPr>
        <w:t xml:space="preserve"> had been implemented in 70</w:t>
      </w:r>
      <w:r w:rsidRPr="00F830D5">
        <w:rPr>
          <w:rFonts w:ascii="Palatino Linotype" w:eastAsia="Times New Roman" w:hAnsi="Palatino Linotype" w:cs="Times New Roman"/>
          <w:sz w:val="24"/>
          <w:szCs w:val="24"/>
        </w:rPr>
        <w:t xml:space="preserve"> training batches.</w:t>
      </w:r>
    </w:p>
    <w:p w14:paraId="77F0F671" w14:textId="77777777" w:rsidR="00C3156D" w:rsidRPr="00C3156D" w:rsidRDefault="00F830D5" w:rsidP="005E4EF3">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F830D5">
        <w:rPr>
          <w:rFonts w:ascii="Palatino Linotype" w:eastAsia="Times New Roman" w:hAnsi="Palatino Linotype" w:cs="Times New Roman"/>
          <w:sz w:val="24"/>
          <w:szCs w:val="24"/>
        </w:rPr>
        <w:t>The community service activity consisted of three main stages: (1) preparation of the service quality evaluation instrument, (2) collection and analysis of participant feedback, and (3) formulation of service improvement recommendations. The evaluation was conducted following the implementation of the training and certification activities.</w:t>
      </w:r>
    </w:p>
    <w:p w14:paraId="722B3353" w14:textId="77777777" w:rsidR="00C3156D" w:rsidRPr="00F830D5" w:rsidRDefault="00C3156D" w:rsidP="00F830D5">
      <w:pPr>
        <w:pStyle w:val="ListParagraph"/>
        <w:numPr>
          <w:ilvl w:val="1"/>
          <w:numId w:val="4"/>
        </w:numPr>
        <w:tabs>
          <w:tab w:val="left" w:pos="450"/>
        </w:tabs>
        <w:spacing w:before="120" w:after="0"/>
        <w:ind w:left="426" w:hanging="426"/>
        <w:jc w:val="both"/>
        <w:rPr>
          <w:rFonts w:ascii="Palatino Linotype" w:eastAsia="Times New Roman" w:hAnsi="Palatino Linotype" w:cs="Times New Roman"/>
          <w:b/>
          <w:sz w:val="24"/>
          <w:szCs w:val="24"/>
        </w:rPr>
      </w:pPr>
      <w:r w:rsidRPr="00F830D5">
        <w:rPr>
          <w:rFonts w:ascii="Palatino Linotype" w:eastAsia="Times New Roman" w:hAnsi="Palatino Linotype" w:cs="Times New Roman"/>
          <w:b/>
          <w:sz w:val="24"/>
          <w:szCs w:val="24"/>
        </w:rPr>
        <w:lastRenderedPageBreak/>
        <w:t>Participants and Data Collection</w:t>
      </w:r>
    </w:p>
    <w:p w14:paraId="7E5CF51A" w14:textId="77777777" w:rsidR="00C3156D" w:rsidRPr="00AF6C84" w:rsidRDefault="00AF6C84" w:rsidP="005E4EF3">
      <w:pPr>
        <w:tabs>
          <w:tab w:val="left" w:pos="450"/>
        </w:tabs>
        <w:spacing w:after="0"/>
        <w:jc w:val="both"/>
        <w:rPr>
          <w:rFonts w:ascii="Palatino Linotype" w:eastAsia="Times New Roman" w:hAnsi="Palatino Linotype" w:cs="Times New Roman"/>
          <w:sz w:val="28"/>
          <w:szCs w:val="24"/>
        </w:rPr>
      </w:pPr>
      <w:r>
        <w:rPr>
          <w:rFonts w:ascii="Palatino Linotype" w:hAnsi="Palatino Linotype"/>
          <w:sz w:val="24"/>
        </w:rPr>
        <w:tab/>
      </w:r>
      <w:r w:rsidR="00F830D5" w:rsidRPr="00AF6C84">
        <w:rPr>
          <w:rFonts w:ascii="Palatino Linotype" w:hAnsi="Palatino Linotype"/>
          <w:sz w:val="24"/>
        </w:rPr>
        <w:t>The community service activity involved participants of the Welding Inspector Comprehensive Training and Certification Program at PPNS. Purposive sampling was used, with inclusion criteria that respondents had completed the training activities and had direct experience with the instructional, administrative, practical, and certification-related services being evaluated. A total of 50 participants met the criteria and completed the questionnaire</w:t>
      </w:r>
      <w:r>
        <w:rPr>
          <w:rFonts w:ascii="Palatino Linotype" w:hAnsi="Palatino Linotype"/>
          <w:sz w:val="24"/>
        </w:rPr>
        <w:t xml:space="preserve"> (from batch 68, 69 and 70)</w:t>
      </w:r>
      <w:r w:rsidR="00F830D5" w:rsidRPr="00AF6C84">
        <w:rPr>
          <w:rFonts w:ascii="Palatino Linotype" w:hAnsi="Palatino Linotype"/>
          <w:sz w:val="24"/>
        </w:rPr>
        <w:t>. Because the questionnaire was designed specifically for service-quality evaluation, demographic variables such as age, gender, and employment status were not collected and are therefore not inferred in this study.</w:t>
      </w:r>
    </w:p>
    <w:p w14:paraId="4F33F3AF" w14:textId="77777777" w:rsidR="00C3156D" w:rsidRPr="00AF6C84" w:rsidRDefault="00AF6C84" w:rsidP="005E4EF3">
      <w:pPr>
        <w:tabs>
          <w:tab w:val="left" w:pos="450"/>
        </w:tabs>
        <w:spacing w:after="0"/>
        <w:jc w:val="both"/>
        <w:rPr>
          <w:rFonts w:ascii="Palatino Linotype" w:eastAsia="Times New Roman" w:hAnsi="Palatino Linotype" w:cs="Times New Roman"/>
          <w:sz w:val="28"/>
          <w:szCs w:val="24"/>
        </w:rPr>
      </w:pPr>
      <w:r>
        <w:rPr>
          <w:rFonts w:ascii="Palatino Linotype" w:hAnsi="Palatino Linotype"/>
          <w:sz w:val="24"/>
        </w:rPr>
        <w:tab/>
      </w:r>
      <w:r w:rsidR="00F830D5" w:rsidRPr="00AF6C84">
        <w:rPr>
          <w:rFonts w:ascii="Palatino Linotype" w:hAnsi="Palatino Linotype"/>
          <w:sz w:val="24"/>
        </w:rPr>
        <w:t>The training program was conducted over a period of five weeks at PPNS. During this period, participants received theoretical and practical learning activities and interacted directly with instructors, administrative personnel, training facilities, learning materials, assessment, and certification services. The respondent group therefore represented participants with direct and recent exposure to the complete training-service process.</w:t>
      </w:r>
    </w:p>
    <w:p w14:paraId="1718698D" w14:textId="77777777" w:rsidR="00F830D5" w:rsidRPr="00F830D5" w:rsidRDefault="00F830D5" w:rsidP="005E4EF3">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F830D5">
        <w:rPr>
          <w:rFonts w:ascii="Palatino Linotype" w:eastAsia="Times New Roman" w:hAnsi="Palatino Linotype" w:cs="Times New Roman"/>
          <w:sz w:val="24"/>
          <w:szCs w:val="24"/>
        </w:rPr>
        <w:t>Data were collected using a structured questionnaire administered to the participants after they had experienced the training and certification services. The questionnaire consisted of 20 service attributes representing the five SERVQUAL dimensions. Each attribute was evaluated using two measures: participants' expectations of the service and their perceptions of the actual service performance.</w:t>
      </w:r>
    </w:p>
    <w:p w14:paraId="1E960C0F" w14:textId="77777777" w:rsidR="00C3156D" w:rsidRPr="00AF6C84" w:rsidRDefault="00F830D5" w:rsidP="005E4EF3">
      <w:pPr>
        <w:tabs>
          <w:tab w:val="left" w:pos="450"/>
        </w:tabs>
        <w:spacing w:after="0"/>
        <w:jc w:val="both"/>
        <w:rPr>
          <w:rFonts w:ascii="Palatino Linotype" w:eastAsia="Times New Roman" w:hAnsi="Palatino Linotype" w:cs="Times New Roman"/>
          <w:sz w:val="24"/>
          <w:szCs w:val="24"/>
        </w:rPr>
      </w:pPr>
      <w:r>
        <w:tab/>
      </w:r>
      <w:r w:rsidRPr="00AF6C84">
        <w:rPr>
          <w:rFonts w:ascii="Palatino Linotype" w:hAnsi="Palatino Linotype"/>
          <w:sz w:val="24"/>
        </w:rPr>
        <w:t>A five-point Likert scale was used for the evaluation. The scale ranged from 1 to 5, with higher scores representing higher levels of expectation or perceived service performance. The 50 respondents constituted the analytical sample for both expectation and perception scores; no weighting or imputation was applied.</w:t>
      </w:r>
    </w:p>
    <w:p w14:paraId="7D595A03" w14:textId="77777777" w:rsidR="00C3156D" w:rsidRPr="00F830D5" w:rsidRDefault="00F830D5" w:rsidP="00EE269A">
      <w:pPr>
        <w:pStyle w:val="ListParagraph"/>
        <w:numPr>
          <w:ilvl w:val="1"/>
          <w:numId w:val="4"/>
        </w:numPr>
        <w:tabs>
          <w:tab w:val="left" w:pos="450"/>
        </w:tabs>
        <w:spacing w:before="120" w:after="0"/>
        <w:ind w:left="426" w:hanging="426"/>
        <w:jc w:val="both"/>
        <w:rPr>
          <w:rFonts w:ascii="Palatino Linotype" w:eastAsia="Times New Roman" w:hAnsi="Palatino Linotype" w:cs="Times New Roman"/>
          <w:b/>
          <w:sz w:val="24"/>
          <w:szCs w:val="24"/>
        </w:rPr>
      </w:pPr>
      <w:r w:rsidRPr="00F830D5">
        <w:rPr>
          <w:rFonts w:ascii="Palatino Linotype" w:eastAsia="Times New Roman" w:hAnsi="Palatino Linotype" w:cs="Times New Roman"/>
          <w:b/>
          <w:sz w:val="24"/>
          <w:szCs w:val="24"/>
        </w:rPr>
        <w:t>Service Quality Evaluation Attributes</w:t>
      </w:r>
    </w:p>
    <w:p w14:paraId="67DF18A1" w14:textId="77777777" w:rsidR="00C3156D" w:rsidRDefault="00AF6C84" w:rsidP="005E4EF3">
      <w:pPr>
        <w:tabs>
          <w:tab w:val="left" w:pos="450"/>
        </w:tabs>
        <w:spacing w:after="120"/>
        <w:jc w:val="both"/>
        <w:rPr>
          <w:rFonts w:ascii="Palatino Linotype" w:hAnsi="Palatino Linotype"/>
          <w:sz w:val="24"/>
        </w:rPr>
      </w:pPr>
      <w:r>
        <w:rPr>
          <w:rFonts w:ascii="Palatino Linotype" w:hAnsi="Palatino Linotype"/>
          <w:sz w:val="24"/>
        </w:rPr>
        <w:tab/>
      </w:r>
      <w:r w:rsidR="00452DBC" w:rsidRPr="00AF6C84">
        <w:rPr>
          <w:rFonts w:ascii="Palatino Linotype" w:hAnsi="Palatino Linotype"/>
          <w:sz w:val="24"/>
        </w:rPr>
        <w:t>The 20 service attributes were organized into five dimensions of service quality based on the SERVQUAL framework proposed by Parasuraman et al. (1988). Four contextualized attributes were assigned to each dimension, as presented in Table 1. The full statements were written from the participant perspective so that expectations and perceived performance could be measured consistently.</w:t>
      </w:r>
    </w:p>
    <w:p w14:paraId="74C0B5EC" w14:textId="77777777" w:rsidR="00452DBC" w:rsidRPr="001D3F98" w:rsidRDefault="00452DBC" w:rsidP="00EE269A">
      <w:pPr>
        <w:tabs>
          <w:tab w:val="left" w:pos="450"/>
        </w:tabs>
        <w:spacing w:after="60"/>
        <w:jc w:val="center"/>
        <w:rPr>
          <w:rFonts w:ascii="Palatino Linotype" w:eastAsia="Times New Roman" w:hAnsi="Palatino Linotype" w:cs="Times New Roman"/>
          <w:sz w:val="24"/>
          <w:szCs w:val="24"/>
          <w:lang w:val="en-GB"/>
        </w:rPr>
      </w:pPr>
      <w:r w:rsidRPr="001D3F98">
        <w:rPr>
          <w:rFonts w:ascii="Palatino Linotype" w:eastAsia="Times New Roman" w:hAnsi="Palatino Linotype" w:cs="Times New Roman"/>
          <w:b/>
          <w:bCs/>
          <w:sz w:val="24"/>
          <w:szCs w:val="24"/>
        </w:rPr>
        <w:t>Table 1.</w:t>
      </w:r>
      <w:r w:rsidRPr="001D3F98">
        <w:rPr>
          <w:rFonts w:ascii="Palatino Linotype" w:eastAsia="Times New Roman" w:hAnsi="Palatino Linotype" w:cs="Times New Roman"/>
          <w:sz w:val="24"/>
          <w:szCs w:val="24"/>
        </w:rPr>
        <w:t xml:space="preserve"> </w:t>
      </w:r>
      <w:r w:rsidRPr="00452DBC">
        <w:rPr>
          <w:rFonts w:ascii="Palatino Linotype" w:eastAsia="Times New Roman" w:hAnsi="Palatino Linotype" w:cs="Times New Roman"/>
          <w:sz w:val="24"/>
          <w:szCs w:val="24"/>
        </w:rPr>
        <w:t>Service Quality Attributes Based on the SERVQUAL Dimensions</w:t>
      </w:r>
    </w:p>
    <w:tbl>
      <w:tblPr>
        <w:tblW w:w="0" w:type="auto"/>
        <w:tblLook w:val="04A0" w:firstRow="1" w:lastRow="0" w:firstColumn="1" w:lastColumn="0" w:noHBand="0" w:noVBand="1"/>
      </w:tblPr>
      <w:tblGrid>
        <w:gridCol w:w="1610"/>
        <w:gridCol w:w="1061"/>
        <w:gridCol w:w="6355"/>
      </w:tblGrid>
      <w:tr w:rsidR="00E07265" w14:paraId="689AE6C4" w14:textId="77777777" w:rsidTr="00AF6C84">
        <w:tc>
          <w:tcPr>
            <w:tcW w:w="1584" w:type="dxa"/>
            <w:tcBorders>
              <w:top w:val="single" w:sz="12" w:space="0" w:color="auto"/>
              <w:bottom w:val="single" w:sz="12" w:space="0" w:color="auto"/>
            </w:tcBorders>
            <w:vAlign w:val="center"/>
          </w:tcPr>
          <w:p w14:paraId="20100BFB" w14:textId="77777777" w:rsidR="00E07265" w:rsidRPr="00AF6C84" w:rsidRDefault="007E06BF" w:rsidP="00EE269A">
            <w:pPr>
              <w:spacing w:after="0" w:line="240" w:lineRule="auto"/>
              <w:jc w:val="center"/>
              <w:rPr>
                <w:rFonts w:ascii="Palatino Linotype" w:hAnsi="Palatino Linotype"/>
                <w:sz w:val="20"/>
                <w:szCs w:val="20"/>
              </w:rPr>
            </w:pPr>
            <w:r w:rsidRPr="00AF6C84">
              <w:rPr>
                <w:rFonts w:ascii="Palatino Linotype" w:hAnsi="Palatino Linotype"/>
                <w:b/>
                <w:sz w:val="20"/>
                <w:szCs w:val="20"/>
              </w:rPr>
              <w:t>Dimension</w:t>
            </w:r>
          </w:p>
        </w:tc>
        <w:tc>
          <w:tcPr>
            <w:tcW w:w="936" w:type="dxa"/>
            <w:tcBorders>
              <w:top w:val="single" w:sz="12" w:space="0" w:color="auto"/>
              <w:bottom w:val="single" w:sz="12" w:space="0" w:color="auto"/>
            </w:tcBorders>
            <w:vAlign w:val="center"/>
          </w:tcPr>
          <w:p w14:paraId="22A86FBB"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b/>
                <w:sz w:val="20"/>
                <w:szCs w:val="20"/>
              </w:rPr>
              <w:t>Attribute</w:t>
            </w:r>
          </w:p>
        </w:tc>
        <w:tc>
          <w:tcPr>
            <w:tcW w:w="6624" w:type="dxa"/>
            <w:tcBorders>
              <w:top w:val="single" w:sz="12" w:space="0" w:color="auto"/>
              <w:bottom w:val="single" w:sz="12" w:space="0" w:color="auto"/>
            </w:tcBorders>
            <w:vAlign w:val="center"/>
          </w:tcPr>
          <w:p w14:paraId="32D320B7"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b/>
                <w:sz w:val="20"/>
                <w:szCs w:val="20"/>
              </w:rPr>
              <w:t>Full Service Attribute Statement</w:t>
            </w:r>
          </w:p>
        </w:tc>
      </w:tr>
      <w:tr w:rsidR="00E07265" w14:paraId="247A61DC" w14:textId="77777777" w:rsidTr="00AF6C84">
        <w:tc>
          <w:tcPr>
            <w:tcW w:w="1584" w:type="dxa"/>
            <w:tcBorders>
              <w:top w:val="single" w:sz="12" w:space="0" w:color="auto"/>
            </w:tcBorders>
          </w:tcPr>
          <w:p w14:paraId="1993E8B0"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Tangibles</w:t>
            </w:r>
          </w:p>
        </w:tc>
        <w:tc>
          <w:tcPr>
            <w:tcW w:w="936" w:type="dxa"/>
            <w:tcBorders>
              <w:top w:val="single" w:sz="12" w:space="0" w:color="auto"/>
            </w:tcBorders>
          </w:tcPr>
          <w:p w14:paraId="5A526899"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w:t>
            </w:r>
          </w:p>
        </w:tc>
        <w:tc>
          <w:tcPr>
            <w:tcW w:w="6624" w:type="dxa"/>
            <w:tcBorders>
              <w:top w:val="single" w:sz="12" w:space="0" w:color="auto"/>
            </w:tcBorders>
          </w:tcPr>
          <w:p w14:paraId="2683AC6C" w14:textId="77777777" w:rsidR="00E07265" w:rsidRPr="00AF6C84" w:rsidRDefault="00AF6C84"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The practical equipment provided is in good condition and adequate for use during training.</w:t>
            </w:r>
          </w:p>
        </w:tc>
      </w:tr>
      <w:tr w:rsidR="00E07265" w14:paraId="7C7A30C7" w14:textId="77777777" w:rsidTr="00AF6C84">
        <w:tc>
          <w:tcPr>
            <w:tcW w:w="1584" w:type="dxa"/>
          </w:tcPr>
          <w:p w14:paraId="0608F85C"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Tangibles</w:t>
            </w:r>
          </w:p>
        </w:tc>
        <w:tc>
          <w:tcPr>
            <w:tcW w:w="936" w:type="dxa"/>
          </w:tcPr>
          <w:p w14:paraId="212CA72F"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A2</w:t>
            </w:r>
          </w:p>
        </w:tc>
        <w:tc>
          <w:tcPr>
            <w:tcW w:w="6624" w:type="dxa"/>
          </w:tcPr>
          <w:p w14:paraId="49166DAC" w14:textId="77777777" w:rsidR="00E07265" w:rsidRPr="00AF6C84" w:rsidRDefault="00C2585E" w:rsidP="00AF6C84">
            <w:pPr>
              <w:spacing w:after="0" w:line="240" w:lineRule="auto"/>
              <w:jc w:val="both"/>
              <w:rPr>
                <w:rFonts w:ascii="Palatino Linotype" w:hAnsi="Palatino Linotype"/>
                <w:sz w:val="20"/>
                <w:szCs w:val="20"/>
              </w:rPr>
            </w:pPr>
            <w:r w:rsidRPr="00C2585E">
              <w:rPr>
                <w:rFonts w:ascii="Palatino Linotype" w:hAnsi="Palatino Linotype"/>
                <w:sz w:val="20"/>
                <w:szCs w:val="20"/>
              </w:rPr>
              <w:t>The training modules are well-organized, easy to understand, and use interesting media.</w:t>
            </w:r>
          </w:p>
        </w:tc>
      </w:tr>
      <w:tr w:rsidR="00E07265" w14:paraId="15707845" w14:textId="77777777" w:rsidTr="00AF6C84">
        <w:tc>
          <w:tcPr>
            <w:tcW w:w="1584" w:type="dxa"/>
          </w:tcPr>
          <w:p w14:paraId="76AE4590"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Tangibles</w:t>
            </w:r>
          </w:p>
        </w:tc>
        <w:tc>
          <w:tcPr>
            <w:tcW w:w="936" w:type="dxa"/>
          </w:tcPr>
          <w:p w14:paraId="16AFAE82"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A3</w:t>
            </w:r>
          </w:p>
        </w:tc>
        <w:tc>
          <w:tcPr>
            <w:tcW w:w="6624" w:type="dxa"/>
          </w:tcPr>
          <w:p w14:paraId="6CC67B2E" w14:textId="77777777" w:rsidR="00E07265" w:rsidRPr="00AF6C84" w:rsidRDefault="007E06BF"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Classrooms and practical areas are clean, comfortable, and supportive of the learning process.</w:t>
            </w:r>
          </w:p>
        </w:tc>
      </w:tr>
      <w:tr w:rsidR="00E07265" w14:paraId="47C267FC" w14:textId="77777777" w:rsidTr="00AF6C84">
        <w:tc>
          <w:tcPr>
            <w:tcW w:w="1584" w:type="dxa"/>
            <w:tcBorders>
              <w:bottom w:val="single" w:sz="12" w:space="0" w:color="auto"/>
            </w:tcBorders>
          </w:tcPr>
          <w:p w14:paraId="16C2998E"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Tangibles</w:t>
            </w:r>
          </w:p>
        </w:tc>
        <w:tc>
          <w:tcPr>
            <w:tcW w:w="936" w:type="dxa"/>
            <w:tcBorders>
              <w:bottom w:val="single" w:sz="12" w:space="0" w:color="auto"/>
            </w:tcBorders>
          </w:tcPr>
          <w:p w14:paraId="42898FB0"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A4</w:t>
            </w:r>
          </w:p>
        </w:tc>
        <w:tc>
          <w:tcPr>
            <w:tcW w:w="6624" w:type="dxa"/>
            <w:tcBorders>
              <w:bottom w:val="single" w:sz="12" w:space="0" w:color="auto"/>
            </w:tcBorders>
          </w:tcPr>
          <w:p w14:paraId="325A2822" w14:textId="77777777" w:rsidR="00E07265" w:rsidRPr="00AF6C84" w:rsidRDefault="00C2585E" w:rsidP="00AF6C84">
            <w:pPr>
              <w:spacing w:after="0" w:line="240" w:lineRule="auto"/>
              <w:jc w:val="both"/>
              <w:rPr>
                <w:rFonts w:ascii="Palatino Linotype" w:hAnsi="Palatino Linotype"/>
                <w:sz w:val="20"/>
                <w:szCs w:val="20"/>
              </w:rPr>
            </w:pPr>
            <w:r w:rsidRPr="00C2585E">
              <w:rPr>
                <w:rFonts w:ascii="Palatino Linotype" w:hAnsi="Palatino Linotype"/>
                <w:sz w:val="20"/>
                <w:szCs w:val="20"/>
              </w:rPr>
              <w:t>Instructors and support staff are professional and well-dressed.</w:t>
            </w:r>
          </w:p>
        </w:tc>
      </w:tr>
      <w:tr w:rsidR="00E07265" w14:paraId="2137590A" w14:textId="77777777" w:rsidTr="00AF6C84">
        <w:tc>
          <w:tcPr>
            <w:tcW w:w="1584" w:type="dxa"/>
            <w:tcBorders>
              <w:top w:val="single" w:sz="12" w:space="0" w:color="auto"/>
            </w:tcBorders>
          </w:tcPr>
          <w:p w14:paraId="081BFAE7"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lastRenderedPageBreak/>
              <w:t>Reliability</w:t>
            </w:r>
          </w:p>
        </w:tc>
        <w:tc>
          <w:tcPr>
            <w:tcW w:w="936" w:type="dxa"/>
            <w:tcBorders>
              <w:top w:val="single" w:sz="12" w:space="0" w:color="auto"/>
            </w:tcBorders>
          </w:tcPr>
          <w:p w14:paraId="347526EB"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A5</w:t>
            </w:r>
          </w:p>
        </w:tc>
        <w:tc>
          <w:tcPr>
            <w:tcW w:w="6624" w:type="dxa"/>
            <w:tcBorders>
              <w:top w:val="single" w:sz="12" w:space="0" w:color="auto"/>
            </w:tcBorders>
          </w:tcPr>
          <w:p w14:paraId="0D62C54A" w14:textId="77777777" w:rsidR="00E07265" w:rsidRPr="00AF6C84" w:rsidRDefault="007E06BF"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The training schedule is implemented consistently as announced.</w:t>
            </w:r>
          </w:p>
        </w:tc>
      </w:tr>
      <w:tr w:rsidR="00E07265" w14:paraId="704DD45E" w14:textId="77777777" w:rsidTr="00AF6C84">
        <w:tc>
          <w:tcPr>
            <w:tcW w:w="1584" w:type="dxa"/>
          </w:tcPr>
          <w:p w14:paraId="635F8E1A"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Reliability</w:t>
            </w:r>
          </w:p>
        </w:tc>
        <w:tc>
          <w:tcPr>
            <w:tcW w:w="936" w:type="dxa"/>
          </w:tcPr>
          <w:p w14:paraId="63DB617F"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A6</w:t>
            </w:r>
          </w:p>
        </w:tc>
        <w:tc>
          <w:tcPr>
            <w:tcW w:w="6624" w:type="dxa"/>
          </w:tcPr>
          <w:p w14:paraId="72382E1C" w14:textId="77777777" w:rsidR="00E07265" w:rsidRPr="00AF6C84" w:rsidRDefault="00C2585E" w:rsidP="00C2585E">
            <w:pPr>
              <w:spacing w:after="0" w:line="240" w:lineRule="auto"/>
              <w:jc w:val="both"/>
              <w:rPr>
                <w:rFonts w:ascii="Palatino Linotype" w:hAnsi="Palatino Linotype"/>
                <w:sz w:val="20"/>
                <w:szCs w:val="20"/>
              </w:rPr>
            </w:pPr>
            <w:r w:rsidRPr="00C2585E">
              <w:rPr>
                <w:rFonts w:ascii="Palatino Linotype" w:hAnsi="Palatino Linotype"/>
                <w:sz w:val="20"/>
                <w:szCs w:val="20"/>
              </w:rPr>
              <w:t>The instructor is able to deliver the material consistently and in accordance with the training curriculum.</w:t>
            </w:r>
          </w:p>
        </w:tc>
      </w:tr>
      <w:tr w:rsidR="00E07265" w14:paraId="68F64F4F" w14:textId="77777777" w:rsidTr="00AF6C84">
        <w:tc>
          <w:tcPr>
            <w:tcW w:w="1584" w:type="dxa"/>
          </w:tcPr>
          <w:p w14:paraId="74D8FF13"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Reliability</w:t>
            </w:r>
          </w:p>
        </w:tc>
        <w:tc>
          <w:tcPr>
            <w:tcW w:w="936" w:type="dxa"/>
          </w:tcPr>
          <w:p w14:paraId="43BE6F84"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A7</w:t>
            </w:r>
          </w:p>
        </w:tc>
        <w:tc>
          <w:tcPr>
            <w:tcW w:w="6624" w:type="dxa"/>
          </w:tcPr>
          <w:p w14:paraId="7BC8FF47" w14:textId="77777777" w:rsidR="00E07265" w:rsidRPr="00AF6C84" w:rsidRDefault="007E06BF"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Theoretical and practical sessions are delivered according to the stated program.</w:t>
            </w:r>
          </w:p>
        </w:tc>
      </w:tr>
      <w:tr w:rsidR="00E07265" w14:paraId="15AAE040" w14:textId="77777777" w:rsidTr="00AF6C84">
        <w:tc>
          <w:tcPr>
            <w:tcW w:w="1584" w:type="dxa"/>
            <w:tcBorders>
              <w:bottom w:val="single" w:sz="12" w:space="0" w:color="auto"/>
            </w:tcBorders>
          </w:tcPr>
          <w:p w14:paraId="4C4D881A"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Reliability</w:t>
            </w:r>
          </w:p>
        </w:tc>
        <w:tc>
          <w:tcPr>
            <w:tcW w:w="936" w:type="dxa"/>
            <w:tcBorders>
              <w:bottom w:val="single" w:sz="12" w:space="0" w:color="auto"/>
            </w:tcBorders>
          </w:tcPr>
          <w:p w14:paraId="556B37B1"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A8</w:t>
            </w:r>
          </w:p>
        </w:tc>
        <w:tc>
          <w:tcPr>
            <w:tcW w:w="6624" w:type="dxa"/>
            <w:tcBorders>
              <w:bottom w:val="single" w:sz="12" w:space="0" w:color="auto"/>
            </w:tcBorders>
          </w:tcPr>
          <w:p w14:paraId="0D4470DF" w14:textId="77777777" w:rsidR="00E07265" w:rsidRPr="00AF6C84" w:rsidRDefault="00C2585E" w:rsidP="00AF6C84">
            <w:pPr>
              <w:spacing w:after="0" w:line="240" w:lineRule="auto"/>
              <w:jc w:val="both"/>
              <w:rPr>
                <w:rFonts w:ascii="Palatino Linotype" w:hAnsi="Palatino Linotype"/>
                <w:sz w:val="20"/>
                <w:szCs w:val="20"/>
              </w:rPr>
            </w:pPr>
            <w:r w:rsidRPr="00C2585E">
              <w:rPr>
                <w:rFonts w:ascii="Palatino Linotype" w:hAnsi="Palatino Linotype"/>
                <w:sz w:val="20"/>
                <w:szCs w:val="20"/>
              </w:rPr>
              <w:t>Practical material taught is relevant to the theory previously presented.</w:t>
            </w:r>
          </w:p>
        </w:tc>
      </w:tr>
      <w:tr w:rsidR="00E07265" w14:paraId="72E29033" w14:textId="77777777" w:rsidTr="00AF6C84">
        <w:tc>
          <w:tcPr>
            <w:tcW w:w="1584" w:type="dxa"/>
            <w:tcBorders>
              <w:top w:val="single" w:sz="12" w:space="0" w:color="auto"/>
            </w:tcBorders>
          </w:tcPr>
          <w:p w14:paraId="5769A46E"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Responsiveness</w:t>
            </w:r>
          </w:p>
        </w:tc>
        <w:tc>
          <w:tcPr>
            <w:tcW w:w="936" w:type="dxa"/>
            <w:tcBorders>
              <w:top w:val="single" w:sz="12" w:space="0" w:color="auto"/>
            </w:tcBorders>
          </w:tcPr>
          <w:p w14:paraId="0AD5FE1C"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A9</w:t>
            </w:r>
          </w:p>
        </w:tc>
        <w:tc>
          <w:tcPr>
            <w:tcW w:w="6624" w:type="dxa"/>
            <w:tcBorders>
              <w:top w:val="single" w:sz="12" w:space="0" w:color="auto"/>
            </w:tcBorders>
          </w:tcPr>
          <w:p w14:paraId="4E822C19" w14:textId="77777777" w:rsidR="00E07265" w:rsidRPr="00AF6C84" w:rsidRDefault="007E06BF"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Instructors respond promptly when participants experience difficulties during practical sessions.</w:t>
            </w:r>
          </w:p>
        </w:tc>
      </w:tr>
      <w:tr w:rsidR="00E07265" w14:paraId="156F20E3" w14:textId="77777777" w:rsidTr="00AF6C84">
        <w:tc>
          <w:tcPr>
            <w:tcW w:w="1584" w:type="dxa"/>
          </w:tcPr>
          <w:p w14:paraId="78C2DB8D"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Responsiveness</w:t>
            </w:r>
          </w:p>
        </w:tc>
        <w:tc>
          <w:tcPr>
            <w:tcW w:w="936" w:type="dxa"/>
          </w:tcPr>
          <w:p w14:paraId="666DA722"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A10</w:t>
            </w:r>
          </w:p>
        </w:tc>
        <w:tc>
          <w:tcPr>
            <w:tcW w:w="6624" w:type="dxa"/>
          </w:tcPr>
          <w:p w14:paraId="17B1A762" w14:textId="77777777" w:rsidR="00E07265" w:rsidRPr="00AF6C84" w:rsidRDefault="007E06BF"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Training staff respond promptly to participants' questions and requests.</w:t>
            </w:r>
          </w:p>
        </w:tc>
      </w:tr>
      <w:tr w:rsidR="00E07265" w14:paraId="7ADC02A4" w14:textId="77777777" w:rsidTr="00AF6C84">
        <w:tc>
          <w:tcPr>
            <w:tcW w:w="1584" w:type="dxa"/>
          </w:tcPr>
          <w:p w14:paraId="634D667A"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Responsiveness</w:t>
            </w:r>
          </w:p>
        </w:tc>
        <w:tc>
          <w:tcPr>
            <w:tcW w:w="936" w:type="dxa"/>
          </w:tcPr>
          <w:p w14:paraId="2B613123"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A11</w:t>
            </w:r>
          </w:p>
        </w:tc>
        <w:tc>
          <w:tcPr>
            <w:tcW w:w="6624" w:type="dxa"/>
          </w:tcPr>
          <w:p w14:paraId="4AA6C4E3" w14:textId="77777777" w:rsidR="00E07265" w:rsidRPr="00AF6C84" w:rsidRDefault="00C2585E" w:rsidP="00AF6C84">
            <w:pPr>
              <w:spacing w:after="0" w:line="240" w:lineRule="auto"/>
              <w:jc w:val="both"/>
              <w:rPr>
                <w:rFonts w:ascii="Palatino Linotype" w:hAnsi="Palatino Linotype"/>
                <w:sz w:val="20"/>
                <w:szCs w:val="20"/>
              </w:rPr>
            </w:pPr>
            <w:r w:rsidRPr="00C2585E">
              <w:rPr>
                <w:rFonts w:ascii="Palatino Linotype" w:hAnsi="Palatino Linotype"/>
                <w:sz w:val="20"/>
                <w:szCs w:val="20"/>
              </w:rPr>
              <w:t>Participants' questions during the theory session were answered clearly and promptly by the instructor.</w:t>
            </w:r>
          </w:p>
        </w:tc>
      </w:tr>
      <w:tr w:rsidR="00E07265" w14:paraId="3F133826" w14:textId="77777777" w:rsidTr="00AF6C84">
        <w:tc>
          <w:tcPr>
            <w:tcW w:w="1584" w:type="dxa"/>
            <w:tcBorders>
              <w:bottom w:val="single" w:sz="12" w:space="0" w:color="auto"/>
            </w:tcBorders>
          </w:tcPr>
          <w:p w14:paraId="655E4709"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Responsiveness</w:t>
            </w:r>
          </w:p>
        </w:tc>
        <w:tc>
          <w:tcPr>
            <w:tcW w:w="936" w:type="dxa"/>
            <w:tcBorders>
              <w:bottom w:val="single" w:sz="12" w:space="0" w:color="auto"/>
            </w:tcBorders>
          </w:tcPr>
          <w:p w14:paraId="6CD80F0A"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A12</w:t>
            </w:r>
          </w:p>
        </w:tc>
        <w:tc>
          <w:tcPr>
            <w:tcW w:w="6624" w:type="dxa"/>
            <w:tcBorders>
              <w:bottom w:val="single" w:sz="12" w:space="0" w:color="auto"/>
            </w:tcBorders>
          </w:tcPr>
          <w:p w14:paraId="37C5EC9E" w14:textId="77777777" w:rsidR="00E07265" w:rsidRPr="00AF6C84" w:rsidRDefault="00C2585E" w:rsidP="00AF6C84">
            <w:pPr>
              <w:spacing w:after="0" w:line="240" w:lineRule="auto"/>
              <w:jc w:val="both"/>
              <w:rPr>
                <w:rFonts w:ascii="Palatino Linotype" w:hAnsi="Palatino Linotype"/>
                <w:sz w:val="20"/>
                <w:szCs w:val="20"/>
              </w:rPr>
            </w:pPr>
            <w:r w:rsidRPr="00C2585E">
              <w:rPr>
                <w:rFonts w:ascii="Palatino Linotype" w:hAnsi="Palatino Linotype"/>
                <w:sz w:val="20"/>
                <w:szCs w:val="20"/>
              </w:rPr>
              <w:t>There is a willingness from the organizer to adjust the speed of the material if participants find it difficult.</w:t>
            </w:r>
          </w:p>
        </w:tc>
      </w:tr>
      <w:tr w:rsidR="00E07265" w14:paraId="483F3BE3" w14:textId="77777777" w:rsidTr="00AF6C84">
        <w:tc>
          <w:tcPr>
            <w:tcW w:w="1584" w:type="dxa"/>
            <w:tcBorders>
              <w:top w:val="single" w:sz="12" w:space="0" w:color="auto"/>
            </w:tcBorders>
          </w:tcPr>
          <w:p w14:paraId="5F5DDFF8"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Assurance</w:t>
            </w:r>
          </w:p>
        </w:tc>
        <w:tc>
          <w:tcPr>
            <w:tcW w:w="936" w:type="dxa"/>
            <w:tcBorders>
              <w:top w:val="single" w:sz="12" w:space="0" w:color="auto"/>
            </w:tcBorders>
          </w:tcPr>
          <w:p w14:paraId="2F6628F4"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A13</w:t>
            </w:r>
          </w:p>
        </w:tc>
        <w:tc>
          <w:tcPr>
            <w:tcW w:w="6624" w:type="dxa"/>
            <w:tcBorders>
              <w:top w:val="single" w:sz="12" w:space="0" w:color="auto"/>
            </w:tcBorders>
          </w:tcPr>
          <w:p w14:paraId="7D3DD5C7" w14:textId="77777777" w:rsidR="00E07265" w:rsidRPr="00AF6C84" w:rsidRDefault="007E06BF"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Instructors demonstrate adequate technical competence in welding inspection.</w:t>
            </w:r>
          </w:p>
        </w:tc>
      </w:tr>
      <w:tr w:rsidR="00E07265" w14:paraId="0AAFFBEA" w14:textId="77777777" w:rsidTr="00AF6C84">
        <w:tc>
          <w:tcPr>
            <w:tcW w:w="1584" w:type="dxa"/>
          </w:tcPr>
          <w:p w14:paraId="3CE95266"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Assurance</w:t>
            </w:r>
          </w:p>
        </w:tc>
        <w:tc>
          <w:tcPr>
            <w:tcW w:w="936" w:type="dxa"/>
          </w:tcPr>
          <w:p w14:paraId="5E0AF236"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A14</w:t>
            </w:r>
          </w:p>
        </w:tc>
        <w:tc>
          <w:tcPr>
            <w:tcW w:w="6624" w:type="dxa"/>
          </w:tcPr>
          <w:p w14:paraId="64FAF5AE" w14:textId="77777777" w:rsidR="00E07265" w:rsidRPr="00AF6C84" w:rsidRDefault="00C2585E" w:rsidP="00AF6C84">
            <w:pPr>
              <w:spacing w:after="0" w:line="240" w:lineRule="auto"/>
              <w:jc w:val="both"/>
              <w:rPr>
                <w:rFonts w:ascii="Palatino Linotype" w:hAnsi="Palatino Linotype"/>
                <w:sz w:val="20"/>
                <w:szCs w:val="20"/>
              </w:rPr>
            </w:pPr>
            <w:r w:rsidRPr="00C2585E">
              <w:rPr>
                <w:rFonts w:ascii="Palatino Linotype" w:hAnsi="Palatino Linotype"/>
                <w:sz w:val="20"/>
                <w:szCs w:val="20"/>
              </w:rPr>
              <w:t>Participants feel safe and protected from the risk of accidents during practical activities.</w:t>
            </w:r>
          </w:p>
        </w:tc>
      </w:tr>
      <w:tr w:rsidR="00E07265" w14:paraId="6D188593" w14:textId="77777777" w:rsidTr="00AF6C84">
        <w:tc>
          <w:tcPr>
            <w:tcW w:w="1584" w:type="dxa"/>
          </w:tcPr>
          <w:p w14:paraId="1C600279"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Assurance</w:t>
            </w:r>
          </w:p>
        </w:tc>
        <w:tc>
          <w:tcPr>
            <w:tcW w:w="936" w:type="dxa"/>
          </w:tcPr>
          <w:p w14:paraId="2A4B93DB"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A15</w:t>
            </w:r>
          </w:p>
        </w:tc>
        <w:tc>
          <w:tcPr>
            <w:tcW w:w="6624" w:type="dxa"/>
          </w:tcPr>
          <w:p w14:paraId="3073FF5E" w14:textId="77777777" w:rsidR="00E07265" w:rsidRPr="00AF6C84" w:rsidRDefault="007E06BF"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The assessment and certification process is conducted clearly and provides participants with sufficient confidence.</w:t>
            </w:r>
          </w:p>
        </w:tc>
      </w:tr>
      <w:tr w:rsidR="00E07265" w14:paraId="7677ED16" w14:textId="77777777" w:rsidTr="00AF6C84">
        <w:tc>
          <w:tcPr>
            <w:tcW w:w="1584" w:type="dxa"/>
            <w:tcBorders>
              <w:bottom w:val="single" w:sz="12" w:space="0" w:color="auto"/>
            </w:tcBorders>
          </w:tcPr>
          <w:p w14:paraId="60C93CBB"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Assurance</w:t>
            </w:r>
          </w:p>
        </w:tc>
        <w:tc>
          <w:tcPr>
            <w:tcW w:w="936" w:type="dxa"/>
            <w:tcBorders>
              <w:bottom w:val="single" w:sz="12" w:space="0" w:color="auto"/>
            </w:tcBorders>
          </w:tcPr>
          <w:p w14:paraId="232BB42B"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A16</w:t>
            </w:r>
          </w:p>
        </w:tc>
        <w:tc>
          <w:tcPr>
            <w:tcW w:w="6624" w:type="dxa"/>
            <w:tcBorders>
              <w:bottom w:val="single" w:sz="12" w:space="0" w:color="auto"/>
            </w:tcBorders>
          </w:tcPr>
          <w:p w14:paraId="5EAB8E1E" w14:textId="77777777" w:rsidR="00E07265" w:rsidRPr="00AF6C84" w:rsidRDefault="007E06BF"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Training staff provide reliable information about certification requirements and procedures.</w:t>
            </w:r>
          </w:p>
        </w:tc>
      </w:tr>
      <w:tr w:rsidR="00E07265" w14:paraId="759C9FC0" w14:textId="77777777" w:rsidTr="00AF6C84">
        <w:tc>
          <w:tcPr>
            <w:tcW w:w="1584" w:type="dxa"/>
            <w:tcBorders>
              <w:top w:val="single" w:sz="12" w:space="0" w:color="auto"/>
            </w:tcBorders>
          </w:tcPr>
          <w:p w14:paraId="71CF5D2D"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Empathy</w:t>
            </w:r>
          </w:p>
        </w:tc>
        <w:tc>
          <w:tcPr>
            <w:tcW w:w="936" w:type="dxa"/>
            <w:tcBorders>
              <w:top w:val="single" w:sz="12" w:space="0" w:color="auto"/>
            </w:tcBorders>
          </w:tcPr>
          <w:p w14:paraId="3B366EAD"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A17</w:t>
            </w:r>
          </w:p>
        </w:tc>
        <w:tc>
          <w:tcPr>
            <w:tcW w:w="6624" w:type="dxa"/>
            <w:tcBorders>
              <w:top w:val="single" w:sz="12" w:space="0" w:color="auto"/>
            </w:tcBorders>
          </w:tcPr>
          <w:p w14:paraId="3240A8E8" w14:textId="77777777" w:rsidR="00E07265" w:rsidRPr="00AF6C84" w:rsidRDefault="007E06BF"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Training personnel provide individual attention to participants who need assistance.</w:t>
            </w:r>
          </w:p>
        </w:tc>
      </w:tr>
      <w:tr w:rsidR="00E07265" w14:paraId="224D4E89" w14:textId="77777777" w:rsidTr="00AF6C84">
        <w:tc>
          <w:tcPr>
            <w:tcW w:w="1584" w:type="dxa"/>
          </w:tcPr>
          <w:p w14:paraId="14A96FEE"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Empathy</w:t>
            </w:r>
          </w:p>
        </w:tc>
        <w:tc>
          <w:tcPr>
            <w:tcW w:w="936" w:type="dxa"/>
          </w:tcPr>
          <w:p w14:paraId="4337B595"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A18</w:t>
            </w:r>
          </w:p>
        </w:tc>
        <w:tc>
          <w:tcPr>
            <w:tcW w:w="6624" w:type="dxa"/>
          </w:tcPr>
          <w:p w14:paraId="4B3DF0D7" w14:textId="77777777" w:rsidR="00E07265" w:rsidRPr="00AF6C84" w:rsidRDefault="005B4D2A" w:rsidP="00AF6C84">
            <w:pPr>
              <w:spacing w:after="0" w:line="240" w:lineRule="auto"/>
              <w:jc w:val="both"/>
              <w:rPr>
                <w:rFonts w:ascii="Palatino Linotype" w:hAnsi="Palatino Linotype"/>
                <w:sz w:val="20"/>
                <w:szCs w:val="20"/>
              </w:rPr>
            </w:pPr>
            <w:r w:rsidRPr="005B4D2A">
              <w:rPr>
                <w:rFonts w:ascii="Palatino Linotype" w:hAnsi="Palatino Linotype"/>
                <w:sz w:val="20"/>
                <w:szCs w:val="20"/>
              </w:rPr>
              <w:t>The training schedule effectively accounts for break times and participants' basic needs.</w:t>
            </w:r>
          </w:p>
        </w:tc>
      </w:tr>
      <w:tr w:rsidR="00E07265" w14:paraId="77BCD942" w14:textId="77777777" w:rsidTr="00AF6C84">
        <w:tc>
          <w:tcPr>
            <w:tcW w:w="1584" w:type="dxa"/>
          </w:tcPr>
          <w:p w14:paraId="0ACA9CDD"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Empathy</w:t>
            </w:r>
          </w:p>
        </w:tc>
        <w:tc>
          <w:tcPr>
            <w:tcW w:w="936" w:type="dxa"/>
          </w:tcPr>
          <w:p w14:paraId="19F07B84"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A19</w:t>
            </w:r>
          </w:p>
        </w:tc>
        <w:tc>
          <w:tcPr>
            <w:tcW w:w="6624" w:type="dxa"/>
          </w:tcPr>
          <w:p w14:paraId="39BF3764" w14:textId="77777777" w:rsidR="00E07265" w:rsidRPr="00AF6C84" w:rsidRDefault="007E06BF" w:rsidP="00AF6C84">
            <w:pPr>
              <w:spacing w:after="0" w:line="240" w:lineRule="auto"/>
              <w:jc w:val="both"/>
              <w:rPr>
                <w:rFonts w:ascii="Palatino Linotype" w:hAnsi="Palatino Linotype"/>
                <w:sz w:val="20"/>
                <w:szCs w:val="20"/>
              </w:rPr>
            </w:pPr>
            <w:r w:rsidRPr="00AF6C84">
              <w:rPr>
                <w:rFonts w:ascii="Palatino Linotype" w:hAnsi="Palatino Linotype"/>
                <w:sz w:val="20"/>
                <w:szCs w:val="20"/>
              </w:rPr>
              <w:t>Participants are given adequate opportunities to ask questions and obtain clarification.</w:t>
            </w:r>
          </w:p>
        </w:tc>
      </w:tr>
      <w:tr w:rsidR="00E07265" w14:paraId="44EB0F70" w14:textId="77777777" w:rsidTr="00AF6C84">
        <w:tc>
          <w:tcPr>
            <w:tcW w:w="1584" w:type="dxa"/>
            <w:tcBorders>
              <w:bottom w:val="single" w:sz="12" w:space="0" w:color="auto"/>
            </w:tcBorders>
          </w:tcPr>
          <w:p w14:paraId="22E7A254" w14:textId="77777777" w:rsidR="00E07265" w:rsidRPr="00AF6C84" w:rsidRDefault="007E06BF" w:rsidP="00AF6C84">
            <w:pPr>
              <w:spacing w:after="0" w:line="240" w:lineRule="auto"/>
              <w:rPr>
                <w:rFonts w:ascii="Palatino Linotype" w:hAnsi="Palatino Linotype"/>
                <w:sz w:val="20"/>
                <w:szCs w:val="20"/>
              </w:rPr>
            </w:pPr>
            <w:r w:rsidRPr="00AF6C84">
              <w:rPr>
                <w:rFonts w:ascii="Palatino Linotype" w:hAnsi="Palatino Linotype"/>
                <w:sz w:val="20"/>
                <w:szCs w:val="20"/>
              </w:rPr>
              <w:t>Empathy</w:t>
            </w:r>
          </w:p>
        </w:tc>
        <w:tc>
          <w:tcPr>
            <w:tcW w:w="936" w:type="dxa"/>
            <w:tcBorders>
              <w:bottom w:val="single" w:sz="12" w:space="0" w:color="auto"/>
            </w:tcBorders>
          </w:tcPr>
          <w:p w14:paraId="2B4B32FB" w14:textId="77777777" w:rsidR="00E07265" w:rsidRPr="00AF6C84" w:rsidRDefault="007E06BF" w:rsidP="00AF6C84">
            <w:pPr>
              <w:spacing w:after="0" w:line="240" w:lineRule="auto"/>
              <w:jc w:val="center"/>
              <w:rPr>
                <w:rFonts w:ascii="Palatino Linotype" w:hAnsi="Palatino Linotype"/>
                <w:sz w:val="20"/>
                <w:szCs w:val="20"/>
              </w:rPr>
            </w:pPr>
            <w:r w:rsidRPr="00AF6C84">
              <w:rPr>
                <w:rFonts w:ascii="Palatino Linotype" w:hAnsi="Palatino Linotype"/>
                <w:sz w:val="20"/>
                <w:szCs w:val="20"/>
              </w:rPr>
              <w:t>A20</w:t>
            </w:r>
          </w:p>
        </w:tc>
        <w:tc>
          <w:tcPr>
            <w:tcW w:w="6624" w:type="dxa"/>
            <w:tcBorders>
              <w:bottom w:val="single" w:sz="12" w:space="0" w:color="auto"/>
            </w:tcBorders>
          </w:tcPr>
          <w:p w14:paraId="7EEF7F14" w14:textId="77777777" w:rsidR="00E07265" w:rsidRPr="00AF6C84" w:rsidRDefault="005B4D2A" w:rsidP="005B4D2A">
            <w:pPr>
              <w:spacing w:after="0" w:line="240" w:lineRule="auto"/>
              <w:jc w:val="both"/>
              <w:rPr>
                <w:rFonts w:ascii="Palatino Linotype" w:hAnsi="Palatino Linotype"/>
                <w:sz w:val="20"/>
                <w:szCs w:val="20"/>
              </w:rPr>
            </w:pPr>
            <w:r w:rsidRPr="005B4D2A">
              <w:rPr>
                <w:rFonts w:ascii="Palatino Linotype" w:hAnsi="Palatino Linotype"/>
                <w:sz w:val="20"/>
                <w:szCs w:val="20"/>
              </w:rPr>
              <w:t>Instructors understand the varying skill backgrounds of participants regarding material absorption.</w:t>
            </w:r>
          </w:p>
        </w:tc>
      </w:tr>
    </w:tbl>
    <w:p w14:paraId="08BC0831" w14:textId="77777777" w:rsidR="00452DBC" w:rsidRPr="00C3156D" w:rsidRDefault="00452DBC" w:rsidP="00C3156D">
      <w:pPr>
        <w:tabs>
          <w:tab w:val="left" w:pos="450"/>
        </w:tabs>
        <w:spacing w:before="120"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452DBC">
        <w:rPr>
          <w:rFonts w:ascii="Palatino Linotype" w:eastAsia="Times New Roman" w:hAnsi="Palatino Linotype" w:cs="Times New Roman"/>
          <w:sz w:val="24"/>
          <w:szCs w:val="24"/>
        </w:rPr>
        <w:t>The tangibles dimension represents the physical facilities, training equipment, learning materials, and physical environment supporting the training process. Reliability represents the ability of the training provider to deliver the promised services accurately and consistently. Responsiveness refers to the willingness and promptness of instructors and training personnel in responding to participant needs. Assurance represents the competence, professionalism, credibility, and ability of personnel to provide confidence to participants. Empathy refers to the individual attention, communication, and understanding provided by the training organizer toward participants.</w:t>
      </w:r>
    </w:p>
    <w:p w14:paraId="309304BC" w14:textId="77777777" w:rsidR="00C3156D" w:rsidRPr="00452DBC" w:rsidRDefault="00452DBC" w:rsidP="00452DBC">
      <w:pPr>
        <w:pStyle w:val="ListParagraph"/>
        <w:numPr>
          <w:ilvl w:val="1"/>
          <w:numId w:val="4"/>
        </w:numPr>
        <w:tabs>
          <w:tab w:val="left" w:pos="450"/>
        </w:tabs>
        <w:spacing w:before="120" w:after="0"/>
        <w:ind w:left="426" w:hanging="426"/>
        <w:jc w:val="both"/>
        <w:rPr>
          <w:rFonts w:ascii="Palatino Linotype" w:eastAsia="Times New Roman" w:hAnsi="Palatino Linotype" w:cs="Times New Roman"/>
          <w:b/>
          <w:sz w:val="24"/>
          <w:szCs w:val="24"/>
        </w:rPr>
      </w:pPr>
      <w:r w:rsidRPr="00452DBC">
        <w:rPr>
          <w:rFonts w:ascii="Palatino Linotype" w:eastAsia="Times New Roman" w:hAnsi="Palatino Linotype" w:cs="Times New Roman"/>
          <w:b/>
          <w:sz w:val="24"/>
          <w:szCs w:val="24"/>
        </w:rPr>
        <w:t>SERVQUAL Evaluation</w:t>
      </w:r>
    </w:p>
    <w:p w14:paraId="13297E56" w14:textId="77777777" w:rsidR="008D5286" w:rsidRPr="008D5286" w:rsidRDefault="008D5286" w:rsidP="005E4EF3">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8D5286">
        <w:rPr>
          <w:rFonts w:ascii="Palatino Linotype" w:eastAsia="Times New Roman" w:hAnsi="Palatino Linotype" w:cs="Times New Roman"/>
          <w:sz w:val="24"/>
          <w:szCs w:val="24"/>
        </w:rPr>
        <w:t>The SERVQUAL framework was applied to evaluate the gap between participants' expectations and their perceptions of the training and certification services. For each of the 20 service attributes, the mean expectation and perception scores were calculated based on the responses of 5</w:t>
      </w:r>
      <w:r>
        <w:rPr>
          <w:rFonts w:ascii="Palatino Linotype" w:eastAsia="Times New Roman" w:hAnsi="Palatino Linotype" w:cs="Times New Roman"/>
          <w:sz w:val="24"/>
          <w:szCs w:val="24"/>
        </w:rPr>
        <w:t>0</w:t>
      </w:r>
      <w:r w:rsidRPr="008D5286">
        <w:rPr>
          <w:rFonts w:ascii="Palatino Linotype" w:eastAsia="Times New Roman" w:hAnsi="Palatino Linotype" w:cs="Times New Roman"/>
          <w:sz w:val="24"/>
          <w:szCs w:val="24"/>
        </w:rPr>
        <w:t xml:space="preserve"> participants.</w:t>
      </w:r>
    </w:p>
    <w:p w14:paraId="39E05B25" w14:textId="77777777" w:rsidR="00C3156D" w:rsidRDefault="008D5286" w:rsidP="005E4EF3">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lastRenderedPageBreak/>
        <w:tab/>
      </w:r>
      <w:r w:rsidRPr="008D5286">
        <w:rPr>
          <w:rFonts w:ascii="Palatino Linotype" w:eastAsia="Times New Roman" w:hAnsi="Palatino Linotype" w:cs="Times New Roman"/>
          <w:sz w:val="24"/>
          <w:szCs w:val="24"/>
        </w:rPr>
        <w:t>The SERVQUAL gap was subsequently calculated for each attribute by comparing the mean perception score with the corresponding mean expectation score, as described in Section 2.2. A negative gap indicates that the perceived service performance was below participants' expectations, whereas a positive gap indicates that the perceived performance exceeded expectations.</w:t>
      </w:r>
    </w:p>
    <w:p w14:paraId="6F15733B" w14:textId="77777777" w:rsidR="008D5286" w:rsidRPr="00C3156D" w:rsidRDefault="008D5286" w:rsidP="005E4EF3">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8D5286">
        <w:rPr>
          <w:rFonts w:ascii="Palatino Linotype" w:eastAsia="Times New Roman" w:hAnsi="Palatino Linotype" w:cs="Times New Roman"/>
          <w:sz w:val="24"/>
          <w:szCs w:val="24"/>
        </w:rPr>
        <w:t>The gap scores were calculated for all 20 attributes and subsequently aggregated according to the five SERVQUAL dimensions: tangibles, reliability, responsiveness, assurance, and empathy. The results were used to identify service attributes and dimensions requiring further attention.</w:t>
      </w:r>
    </w:p>
    <w:p w14:paraId="24F281A4" w14:textId="77777777" w:rsidR="00C3156D" w:rsidRPr="008D5286" w:rsidRDefault="008D5286" w:rsidP="008D5286">
      <w:pPr>
        <w:pStyle w:val="ListParagraph"/>
        <w:numPr>
          <w:ilvl w:val="1"/>
          <w:numId w:val="4"/>
        </w:numPr>
        <w:tabs>
          <w:tab w:val="left" w:pos="450"/>
        </w:tabs>
        <w:spacing w:before="120" w:after="0"/>
        <w:ind w:left="426" w:hanging="426"/>
        <w:jc w:val="both"/>
        <w:rPr>
          <w:rFonts w:ascii="Palatino Linotype" w:eastAsia="Times New Roman" w:hAnsi="Palatino Linotype" w:cs="Times New Roman"/>
          <w:b/>
          <w:sz w:val="24"/>
          <w:szCs w:val="24"/>
        </w:rPr>
      </w:pPr>
      <w:r w:rsidRPr="008D5286">
        <w:rPr>
          <w:rFonts w:ascii="Palatino Linotype" w:eastAsia="Times New Roman" w:hAnsi="Palatino Linotype" w:cs="Times New Roman"/>
          <w:b/>
          <w:sz w:val="24"/>
          <w:szCs w:val="24"/>
        </w:rPr>
        <w:t>Service Conformity Level</w:t>
      </w:r>
    </w:p>
    <w:p w14:paraId="066436F1" w14:textId="77777777" w:rsidR="008D5286" w:rsidRPr="008D5286" w:rsidRDefault="008D5286"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8D5286">
        <w:rPr>
          <w:rFonts w:ascii="Palatino Linotype" w:eastAsia="Times New Roman" w:hAnsi="Palatino Linotype" w:cs="Times New Roman"/>
          <w:sz w:val="24"/>
          <w:szCs w:val="24"/>
        </w:rPr>
        <w:t>The service conformity level was calculated to determine the extent to which the services provided corresponded to participants' expectations. The calculation followed the formulation described in Section 2.3.</w:t>
      </w:r>
    </w:p>
    <w:p w14:paraId="4D9C5E2B" w14:textId="77777777" w:rsidR="00C3156D" w:rsidRPr="00C3156D" w:rsidRDefault="008D5286"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8D5286">
        <w:rPr>
          <w:rFonts w:ascii="Palatino Linotype" w:eastAsia="Times New Roman" w:hAnsi="Palatino Linotype" w:cs="Times New Roman"/>
          <w:sz w:val="24"/>
          <w:szCs w:val="24"/>
        </w:rPr>
        <w:t>For each of the 20 service attributes, the mean perception score was compared with the corresponding mean expectation score to obtain the percentage of service conformity. A conformity level below 100% indicates that the service performance had not fully met participants' expectations, whereas a value of 100% indicates that the service performance corresponded to expectations.</w:t>
      </w:r>
    </w:p>
    <w:p w14:paraId="02D56E51" w14:textId="77777777" w:rsidR="00C3156D" w:rsidRPr="00C3156D" w:rsidRDefault="008D5286"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8D5286">
        <w:rPr>
          <w:rFonts w:ascii="Palatino Linotype" w:eastAsia="Times New Roman" w:hAnsi="Palatino Linotype" w:cs="Times New Roman"/>
          <w:sz w:val="24"/>
          <w:szCs w:val="24"/>
        </w:rPr>
        <w:t>The conformity results were used as a complementary measure to the SERVQUAL gap analysis and provided a quantitative basis for assessing the extent to which the training and certification services met participants' expectations.</w:t>
      </w:r>
    </w:p>
    <w:p w14:paraId="50F5D2F8" w14:textId="77777777" w:rsidR="00C3156D" w:rsidRPr="008D5286" w:rsidRDefault="008D5286" w:rsidP="008D5286">
      <w:pPr>
        <w:pStyle w:val="ListParagraph"/>
        <w:numPr>
          <w:ilvl w:val="1"/>
          <w:numId w:val="4"/>
        </w:numPr>
        <w:tabs>
          <w:tab w:val="left" w:pos="450"/>
        </w:tabs>
        <w:spacing w:before="120" w:after="0"/>
        <w:ind w:left="426" w:hanging="426"/>
        <w:jc w:val="both"/>
        <w:rPr>
          <w:rFonts w:ascii="Palatino Linotype" w:eastAsia="Times New Roman" w:hAnsi="Palatino Linotype" w:cs="Times New Roman"/>
          <w:b/>
          <w:sz w:val="24"/>
          <w:szCs w:val="24"/>
        </w:rPr>
      </w:pPr>
      <w:r w:rsidRPr="008D5286">
        <w:rPr>
          <w:rFonts w:ascii="Palatino Linotype" w:eastAsia="Times New Roman" w:hAnsi="Palatino Linotype" w:cs="Times New Roman"/>
          <w:b/>
          <w:sz w:val="24"/>
          <w:szCs w:val="24"/>
        </w:rPr>
        <w:t>Expectation–Performance Analysis Based on IPA</w:t>
      </w:r>
    </w:p>
    <w:p w14:paraId="01AB611F" w14:textId="77777777" w:rsidR="008D5286" w:rsidRPr="008D5286" w:rsidRDefault="008D5286"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8D5286">
        <w:rPr>
          <w:rFonts w:ascii="Palatino Linotype" w:eastAsia="Times New Roman" w:hAnsi="Palatino Linotype" w:cs="Times New Roman"/>
          <w:sz w:val="24"/>
          <w:szCs w:val="24"/>
        </w:rPr>
        <w:t>An expectation–performance matrix based on the Importance–Performance Analysis (IPA) framework was applied to identify service attributes requiring priority attention. As the questionnaire did not include a separate importance variable, participants' expectation scores were used as an indicator of the expected importance of each service attribute, while perception scores represented service performance.</w:t>
      </w:r>
    </w:p>
    <w:p w14:paraId="26B99165" w14:textId="77777777" w:rsidR="00C3156D" w:rsidRPr="00C3156D" w:rsidRDefault="008D5286"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8D5286">
        <w:rPr>
          <w:rFonts w:ascii="Palatino Linotype" w:eastAsia="Times New Roman" w:hAnsi="Palatino Linotype" w:cs="Times New Roman"/>
          <w:sz w:val="24"/>
          <w:szCs w:val="24"/>
        </w:rPr>
        <w:t xml:space="preserve">The overall mean expectation and perception scores across the 20 attributes were used as the intersection points of the matrix. </w:t>
      </w:r>
      <w:r w:rsidR="005B4D2A" w:rsidRPr="005B4D2A">
        <w:rPr>
          <w:rFonts w:ascii="Palatino Linotype" w:eastAsia="Times New Roman" w:hAnsi="Palatino Linotype" w:cs="Times New Roman"/>
          <w:sz w:val="24"/>
          <w:szCs w:val="24"/>
        </w:rPr>
        <w:t>Each attribute is placed into one of four quadrants based on its relative expectations and performance.</w:t>
      </w:r>
    </w:p>
    <w:p w14:paraId="380B8CD6" w14:textId="77777777" w:rsidR="00C3156D" w:rsidRDefault="00A629D5" w:rsidP="008A174C">
      <w:pPr>
        <w:tabs>
          <w:tab w:val="left" w:pos="450"/>
        </w:tabs>
        <w:spacing w:after="0"/>
        <w:jc w:val="both"/>
        <w:rPr>
          <w:rFonts w:ascii="Palatino Linotype" w:eastAsia="Times New Roman" w:hAnsi="Palatino Linotype" w:cs="Times New Roman"/>
          <w:sz w:val="24"/>
          <w:szCs w:val="24"/>
        </w:rPr>
      </w:pPr>
      <w:r w:rsidRPr="00A629D5">
        <w:rPr>
          <w:rFonts w:ascii="Palatino Linotype" w:eastAsia="Times New Roman" w:hAnsi="Palatino Linotype" w:cs="Times New Roman"/>
          <w:sz w:val="24"/>
          <w:szCs w:val="24"/>
        </w:rPr>
        <w:t xml:space="preserve">The resulting quadrants were interpreted as follows: </w:t>
      </w:r>
      <w:r w:rsidR="009E2E9C">
        <w:rPr>
          <w:rFonts w:ascii="Palatino Linotype" w:eastAsia="Times New Roman" w:hAnsi="Palatino Linotype" w:cs="Times New Roman"/>
          <w:sz w:val="24"/>
          <w:szCs w:val="24"/>
        </w:rPr>
        <w:t xml:space="preserve">(1) </w:t>
      </w:r>
      <w:r w:rsidRPr="00A629D5">
        <w:rPr>
          <w:rFonts w:ascii="Palatino Linotype" w:eastAsia="Times New Roman" w:hAnsi="Palatino Linotype" w:cs="Times New Roman"/>
          <w:sz w:val="24"/>
          <w:szCs w:val="24"/>
        </w:rPr>
        <w:t xml:space="preserve">Quadrant I represented attributes requiring priority improvement; </w:t>
      </w:r>
      <w:r w:rsidR="009E2E9C">
        <w:rPr>
          <w:rFonts w:ascii="Palatino Linotype" w:eastAsia="Times New Roman" w:hAnsi="Palatino Linotype" w:cs="Times New Roman"/>
          <w:sz w:val="24"/>
          <w:szCs w:val="24"/>
        </w:rPr>
        <w:t xml:space="preserve">(2) </w:t>
      </w:r>
      <w:r w:rsidRPr="00A629D5">
        <w:rPr>
          <w:rFonts w:ascii="Palatino Linotype" w:eastAsia="Times New Roman" w:hAnsi="Palatino Linotype" w:cs="Times New Roman"/>
          <w:sz w:val="24"/>
          <w:szCs w:val="24"/>
        </w:rPr>
        <w:t xml:space="preserve">Quadrant II represented attributes that should be maintained; </w:t>
      </w:r>
      <w:r w:rsidR="009E2E9C">
        <w:rPr>
          <w:rFonts w:ascii="Palatino Linotype" w:eastAsia="Times New Roman" w:hAnsi="Palatino Linotype" w:cs="Times New Roman"/>
          <w:sz w:val="24"/>
          <w:szCs w:val="24"/>
        </w:rPr>
        <w:t xml:space="preserve">(3) </w:t>
      </w:r>
      <w:r w:rsidRPr="00A629D5">
        <w:rPr>
          <w:rFonts w:ascii="Palatino Linotype" w:eastAsia="Times New Roman" w:hAnsi="Palatino Linotype" w:cs="Times New Roman"/>
          <w:sz w:val="24"/>
          <w:szCs w:val="24"/>
        </w:rPr>
        <w:t xml:space="preserve">Quadrant III represented attributes with relatively low priority; and </w:t>
      </w:r>
      <w:r w:rsidR="009E2E9C">
        <w:rPr>
          <w:rFonts w:ascii="Palatino Linotype" w:eastAsia="Times New Roman" w:hAnsi="Palatino Linotype" w:cs="Times New Roman"/>
          <w:sz w:val="24"/>
          <w:szCs w:val="24"/>
        </w:rPr>
        <w:t xml:space="preserve">(4) </w:t>
      </w:r>
      <w:r w:rsidRPr="00A629D5">
        <w:rPr>
          <w:rFonts w:ascii="Palatino Linotype" w:eastAsia="Times New Roman" w:hAnsi="Palatino Linotype" w:cs="Times New Roman"/>
          <w:sz w:val="24"/>
          <w:szCs w:val="24"/>
        </w:rPr>
        <w:t>Quadrant IV represented attributes whose performance was relatively high compared with their expectation level.</w:t>
      </w:r>
    </w:p>
    <w:p w14:paraId="2E26C09D" w14:textId="77777777" w:rsidR="00A629D5" w:rsidRDefault="009E2E9C"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A629D5" w:rsidRPr="00A629D5">
        <w:rPr>
          <w:rFonts w:ascii="Palatino Linotype" w:eastAsia="Times New Roman" w:hAnsi="Palatino Linotype" w:cs="Times New Roman"/>
          <w:sz w:val="24"/>
          <w:szCs w:val="24"/>
        </w:rPr>
        <w:t>The results of the expectation–performance analysis were subsequently compared with the SERVQUAL gap and service conformity results to establish service improvement priorities.</w:t>
      </w:r>
    </w:p>
    <w:p w14:paraId="1FB81CD5" w14:textId="77777777" w:rsidR="00EF47AF" w:rsidRPr="00EF47AF" w:rsidRDefault="00EF47AF" w:rsidP="00EF47AF">
      <w:pPr>
        <w:pStyle w:val="ListParagraph"/>
        <w:numPr>
          <w:ilvl w:val="1"/>
          <w:numId w:val="4"/>
        </w:numPr>
        <w:tabs>
          <w:tab w:val="left" w:pos="450"/>
        </w:tabs>
        <w:spacing w:before="120" w:after="0"/>
        <w:ind w:left="426" w:hanging="426"/>
        <w:jc w:val="both"/>
        <w:rPr>
          <w:rFonts w:ascii="Palatino Linotype" w:eastAsia="Times New Roman" w:hAnsi="Palatino Linotype" w:cs="Times New Roman"/>
          <w:b/>
          <w:sz w:val="24"/>
          <w:szCs w:val="24"/>
        </w:rPr>
      </w:pPr>
      <w:r w:rsidRPr="00EF47AF">
        <w:rPr>
          <w:rFonts w:ascii="Palatino Linotype" w:eastAsia="Times New Roman" w:hAnsi="Palatino Linotype" w:cs="Times New Roman"/>
          <w:b/>
          <w:sz w:val="24"/>
          <w:szCs w:val="24"/>
        </w:rPr>
        <w:lastRenderedPageBreak/>
        <w:t>Formulation of Service Improvement Recommendations</w:t>
      </w:r>
    </w:p>
    <w:p w14:paraId="7536CA07" w14:textId="77777777" w:rsidR="00A629D5" w:rsidRPr="00A629D5" w:rsidRDefault="00EF47AF" w:rsidP="008A174C">
      <w:pPr>
        <w:tabs>
          <w:tab w:val="left" w:pos="450"/>
        </w:tabs>
        <w:spacing w:after="0"/>
        <w:ind w:left="66"/>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EF47AF">
        <w:rPr>
          <w:rFonts w:ascii="Palatino Linotype" w:eastAsia="Times New Roman" w:hAnsi="Palatino Linotype" w:cs="Times New Roman"/>
          <w:sz w:val="24"/>
          <w:szCs w:val="24"/>
        </w:rPr>
        <w:t>The final stage of the community service activity involved translating the evaluation findings into practical service improvement recommendations for PPNS as the organizer of the Welding Inspector Comprehensive Training and Certification Program. The recommendations were formulated by considering the results of the SERVQUAL gap analysis, service conformity level, and expectation–performance analysis based on the IPA framework.</w:t>
      </w:r>
    </w:p>
    <w:p w14:paraId="51F166A7" w14:textId="77777777" w:rsidR="00C3156D" w:rsidRPr="00C3156D" w:rsidRDefault="00EF47AF"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EF47AF">
        <w:rPr>
          <w:rFonts w:ascii="Palatino Linotype" w:eastAsia="Times New Roman" w:hAnsi="Palatino Linotype" w:cs="Times New Roman"/>
          <w:sz w:val="24"/>
          <w:szCs w:val="24"/>
        </w:rPr>
        <w:t xml:space="preserve">Service attributes with negative SERVQUAL gap values were identified as aspects where the perceived service performance had not fully met participants' expectations. </w:t>
      </w:r>
      <w:r w:rsidR="005B4D2A" w:rsidRPr="005B4D2A">
        <w:rPr>
          <w:rFonts w:ascii="Palatino Linotype" w:eastAsia="Times New Roman" w:hAnsi="Palatino Linotype" w:cs="Times New Roman"/>
          <w:sz w:val="24"/>
          <w:szCs w:val="24"/>
        </w:rPr>
        <w:t>Service alignment results are considered to determine the extent to which the provided service matches participants' expectations.</w:t>
      </w:r>
    </w:p>
    <w:p w14:paraId="34FBF51A" w14:textId="77777777" w:rsidR="00EF47AF" w:rsidRPr="00EF47AF" w:rsidRDefault="00EF47AF"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EF47AF">
        <w:rPr>
          <w:rFonts w:ascii="Palatino Linotype" w:eastAsia="Times New Roman" w:hAnsi="Palatino Linotype" w:cs="Times New Roman"/>
          <w:sz w:val="24"/>
          <w:szCs w:val="24"/>
        </w:rPr>
        <w:t>Priority was then given to attributes positioned in Quadrant I of the expectation–performance matrix, as these attributes represented aspects with relatively high participant expectations but relatively low perceived performance. These attributes were considered the main areas requiring service improvement. Attributes positioned in Quadrant II were identified as aspects whose service performance should be maintained, while attributes in Quadrants III and IV were considered according to their relative expectation and performance levels.</w:t>
      </w:r>
    </w:p>
    <w:p w14:paraId="40F6B785" w14:textId="77777777" w:rsidR="005B4D2A" w:rsidRDefault="00EF47AF"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EF47AF">
        <w:rPr>
          <w:rFonts w:ascii="Palatino Linotype" w:eastAsia="Times New Roman" w:hAnsi="Palatino Linotype" w:cs="Times New Roman"/>
          <w:sz w:val="24"/>
          <w:szCs w:val="24"/>
        </w:rPr>
        <w:t>The findings from the three analytical approaches were synthesized to formulate practical and actionable recommendations for the training organizer. The recommendations were directed toward improving service delivery, enhancing participant satisfaction, and supporting the continuous improvement of the Welding Inspector Comprehensive Training and Certification Program at PPNS. The recommendations also serve as feedback for the institution in developing future training and certification programs.</w:t>
      </w:r>
    </w:p>
    <w:p w14:paraId="53EB3152" w14:textId="77777777" w:rsidR="005B4D2A" w:rsidRPr="005B4D2A" w:rsidRDefault="005B4D2A" w:rsidP="008A174C">
      <w:pPr>
        <w:tabs>
          <w:tab w:val="left" w:pos="450"/>
        </w:tabs>
        <w:spacing w:after="0"/>
        <w:jc w:val="both"/>
        <w:rPr>
          <w:rFonts w:ascii="Palatino Linotype" w:eastAsia="Times New Roman" w:hAnsi="Palatino Linotype" w:cs="Times New Roman"/>
          <w:sz w:val="24"/>
          <w:szCs w:val="24"/>
        </w:rPr>
      </w:pPr>
    </w:p>
    <w:p w14:paraId="00D005FD" w14:textId="77777777" w:rsidR="005C4AC0" w:rsidRPr="005C4AC0" w:rsidRDefault="005C4AC0" w:rsidP="005C4AC0">
      <w:pPr>
        <w:pStyle w:val="ListParagraph"/>
        <w:numPr>
          <w:ilvl w:val="0"/>
          <w:numId w:val="4"/>
        </w:numPr>
        <w:tabs>
          <w:tab w:val="left" w:pos="450"/>
        </w:tabs>
        <w:spacing w:after="0"/>
        <w:jc w:val="both"/>
        <w:rPr>
          <w:rFonts w:ascii="Palatino Linotype" w:eastAsia="Times New Roman" w:hAnsi="Palatino Linotype" w:cs="Times New Roman"/>
          <w:b/>
          <w:sz w:val="24"/>
          <w:szCs w:val="24"/>
        </w:rPr>
      </w:pPr>
      <w:r w:rsidRPr="005C4AC0">
        <w:rPr>
          <w:rFonts w:ascii="Palatino Linotype" w:eastAsia="Times New Roman" w:hAnsi="Palatino Linotype" w:cs="Times New Roman"/>
          <w:b/>
          <w:sz w:val="24"/>
          <w:szCs w:val="24"/>
        </w:rPr>
        <w:t>Results and Discussion</w:t>
      </w:r>
    </w:p>
    <w:p w14:paraId="47825D4D" w14:textId="77777777" w:rsidR="005C4AC0" w:rsidRPr="00260B4F" w:rsidRDefault="005C4AC0" w:rsidP="008A174C">
      <w:pPr>
        <w:pStyle w:val="ListParagraph"/>
        <w:numPr>
          <w:ilvl w:val="1"/>
          <w:numId w:val="4"/>
        </w:numPr>
        <w:tabs>
          <w:tab w:val="left" w:pos="450"/>
        </w:tabs>
        <w:spacing w:after="0"/>
        <w:ind w:left="426" w:hanging="426"/>
        <w:jc w:val="both"/>
        <w:rPr>
          <w:rFonts w:ascii="Palatino Linotype" w:eastAsia="Times New Roman" w:hAnsi="Palatino Linotype" w:cs="Times New Roman"/>
          <w:bCs/>
          <w:sz w:val="24"/>
          <w:szCs w:val="24"/>
        </w:rPr>
      </w:pPr>
      <w:r w:rsidRPr="00260B4F">
        <w:rPr>
          <w:rFonts w:ascii="Palatino Linotype" w:eastAsia="Times New Roman" w:hAnsi="Palatino Linotype" w:cs="Times New Roman"/>
          <w:bCs/>
          <w:sz w:val="24"/>
          <w:szCs w:val="24"/>
        </w:rPr>
        <w:t>Respondent and Evaluation Overview</w:t>
      </w:r>
    </w:p>
    <w:p w14:paraId="6F423B1F" w14:textId="77777777" w:rsidR="005C4AC0" w:rsidRPr="005C4AC0" w:rsidRDefault="005C4AC0"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t xml:space="preserve">A total of 50 participants of the </w:t>
      </w:r>
      <w:r w:rsidRPr="005C4AC0">
        <w:rPr>
          <w:rFonts w:ascii="Palatino Linotype" w:eastAsia="Times New Roman" w:hAnsi="Palatino Linotype" w:cs="Times New Roman"/>
          <w:sz w:val="24"/>
          <w:szCs w:val="24"/>
        </w:rPr>
        <w:t>Welding Inspector Comprehensive Tra</w:t>
      </w:r>
      <w:r>
        <w:rPr>
          <w:rFonts w:ascii="Palatino Linotype" w:eastAsia="Times New Roman" w:hAnsi="Palatino Linotype" w:cs="Times New Roman"/>
          <w:sz w:val="24"/>
          <w:szCs w:val="24"/>
        </w:rPr>
        <w:t>ining and Certification Program</w:t>
      </w:r>
      <w:r w:rsidRPr="005C4AC0">
        <w:rPr>
          <w:rFonts w:ascii="Palatino Linotype" w:eastAsia="Times New Roman" w:hAnsi="Palatino Linotype" w:cs="Times New Roman"/>
          <w:sz w:val="24"/>
          <w:szCs w:val="24"/>
        </w:rPr>
        <w:t xml:space="preserve"> completed the service quality questionnaire. The evaluation covered 20 service attributes distributed across five SERVQUAL dimensions: tangibles, reliability, responsiveness, assurance, and empathy. Each attribute was assessed using a five-point Likert scale based on participants' expectations and perceptions of the services received during the training and certification program.</w:t>
      </w:r>
    </w:p>
    <w:p w14:paraId="5AE30BFF" w14:textId="77777777" w:rsidR="005C4AC0" w:rsidRPr="005C4AC0" w:rsidRDefault="005C4AC0"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5C4AC0">
        <w:rPr>
          <w:rFonts w:ascii="Palatino Linotype" w:eastAsia="Times New Roman" w:hAnsi="Palatino Linotype" w:cs="Times New Roman"/>
          <w:sz w:val="24"/>
          <w:szCs w:val="24"/>
        </w:rPr>
        <w:t>The overa</w:t>
      </w:r>
      <w:r>
        <w:rPr>
          <w:rFonts w:ascii="Palatino Linotype" w:eastAsia="Times New Roman" w:hAnsi="Palatino Linotype" w:cs="Times New Roman"/>
          <w:sz w:val="24"/>
          <w:szCs w:val="24"/>
        </w:rPr>
        <w:t xml:space="preserve">ll mean expectation score was </w:t>
      </w:r>
      <w:r w:rsidRPr="005C4AC0">
        <w:rPr>
          <w:rFonts w:ascii="Palatino Linotype" w:eastAsia="Times New Roman" w:hAnsi="Palatino Linotype" w:cs="Times New Roman"/>
          <w:b/>
          <w:sz w:val="24"/>
          <w:szCs w:val="24"/>
        </w:rPr>
        <w:t>4.694</w:t>
      </w:r>
      <w:r w:rsidRPr="005C4AC0">
        <w:rPr>
          <w:rFonts w:ascii="Palatino Linotype" w:eastAsia="Times New Roman" w:hAnsi="Palatino Linotype" w:cs="Times New Roman"/>
          <w:sz w:val="24"/>
          <w:szCs w:val="24"/>
        </w:rPr>
        <w:t>, while the over</w:t>
      </w:r>
      <w:r>
        <w:rPr>
          <w:rFonts w:ascii="Palatino Linotype" w:eastAsia="Times New Roman" w:hAnsi="Palatino Linotype" w:cs="Times New Roman"/>
          <w:sz w:val="24"/>
          <w:szCs w:val="24"/>
        </w:rPr>
        <w:t xml:space="preserve">all mean perception score was </w:t>
      </w:r>
      <w:r w:rsidRPr="005C4AC0">
        <w:rPr>
          <w:rFonts w:ascii="Palatino Linotype" w:eastAsia="Times New Roman" w:hAnsi="Palatino Linotype" w:cs="Times New Roman"/>
          <w:b/>
          <w:sz w:val="24"/>
          <w:szCs w:val="24"/>
        </w:rPr>
        <w:t>4.049</w:t>
      </w:r>
      <w:r w:rsidRPr="005C4AC0">
        <w:rPr>
          <w:rFonts w:ascii="Palatino Linotype" w:eastAsia="Times New Roman" w:hAnsi="Palatino Linotype" w:cs="Times New Roman"/>
          <w:sz w:val="24"/>
          <w:szCs w:val="24"/>
        </w:rPr>
        <w:t>. The relatively high expectation score indicates that participants had high expectations regarding the quality of services provided by the training organizer. However, the lower perception score indicates that the services experienced by participants had not fully reached their expected level.</w:t>
      </w:r>
    </w:p>
    <w:p w14:paraId="535019AA" w14:textId="77777777" w:rsidR="005C4AC0" w:rsidRDefault="005C4AC0"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lastRenderedPageBreak/>
        <w:tab/>
      </w:r>
      <w:r w:rsidRPr="005C4AC0">
        <w:rPr>
          <w:rFonts w:ascii="Palatino Linotype" w:eastAsia="Times New Roman" w:hAnsi="Palatino Linotype" w:cs="Times New Roman"/>
          <w:sz w:val="24"/>
          <w:szCs w:val="24"/>
        </w:rPr>
        <w:t>The difference between these two scores indicates the existence of a service quality gap. This finding provides an important basis for further analysis because the evaluation does not merely indicate participants' general satisfaction but identifies specific service attributes that require improvement.</w:t>
      </w:r>
    </w:p>
    <w:p w14:paraId="42F57B67" w14:textId="77777777" w:rsidR="005C4AC0" w:rsidRPr="00260B4F" w:rsidRDefault="005C4AC0" w:rsidP="005C4AC0">
      <w:pPr>
        <w:pStyle w:val="ListParagraph"/>
        <w:numPr>
          <w:ilvl w:val="1"/>
          <w:numId w:val="4"/>
        </w:numPr>
        <w:tabs>
          <w:tab w:val="left" w:pos="450"/>
        </w:tabs>
        <w:spacing w:before="120" w:after="0"/>
        <w:ind w:left="426" w:hanging="426"/>
        <w:jc w:val="both"/>
        <w:rPr>
          <w:rFonts w:ascii="Palatino Linotype" w:eastAsia="Times New Roman" w:hAnsi="Palatino Linotype" w:cs="Times New Roman"/>
          <w:bCs/>
          <w:sz w:val="24"/>
          <w:szCs w:val="24"/>
        </w:rPr>
      </w:pPr>
      <w:r w:rsidRPr="00260B4F">
        <w:rPr>
          <w:rFonts w:ascii="Palatino Linotype" w:eastAsia="Times New Roman" w:hAnsi="Palatino Linotype" w:cs="Times New Roman"/>
          <w:bCs/>
          <w:sz w:val="24"/>
          <w:szCs w:val="24"/>
        </w:rPr>
        <w:t>SERVQUAL Gap Analysis</w:t>
      </w:r>
    </w:p>
    <w:p w14:paraId="5E8C06CB" w14:textId="77777777" w:rsidR="00E20E5B" w:rsidRDefault="005C4AC0" w:rsidP="008A174C">
      <w:pPr>
        <w:tabs>
          <w:tab w:val="left" w:pos="450"/>
        </w:tabs>
        <w:spacing w:after="0" w:line="240" w:lineRule="auto"/>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 xml:space="preserve">The SERVQUAL analysis was conducted by comparing the mean perception score with the mean expectation score for each of the 20 service attributes. The results are presented in Table 2. </w:t>
      </w:r>
    </w:p>
    <w:p w14:paraId="3CED748F" w14:textId="77777777" w:rsidR="005C4AC0" w:rsidRPr="001D3F98" w:rsidRDefault="00B90E7E" w:rsidP="008A174C">
      <w:pPr>
        <w:tabs>
          <w:tab w:val="left" w:pos="2337"/>
        </w:tabs>
        <w:spacing w:before="120" w:after="120"/>
        <w:jc w:val="center"/>
        <w:rPr>
          <w:rFonts w:ascii="Palatino Linotype" w:eastAsia="Times New Roman" w:hAnsi="Palatino Linotype" w:cs="Times New Roman"/>
          <w:sz w:val="24"/>
          <w:szCs w:val="24"/>
          <w:lang w:val="en-GB"/>
        </w:rPr>
      </w:pPr>
      <w:r>
        <w:rPr>
          <w:rFonts w:ascii="Palatino Linotype" w:eastAsia="Times New Roman" w:hAnsi="Palatino Linotype" w:cs="Times New Roman"/>
          <w:b/>
          <w:bCs/>
          <w:sz w:val="24"/>
          <w:szCs w:val="24"/>
        </w:rPr>
        <w:t>Table 2</w:t>
      </w:r>
      <w:r w:rsidR="005C4AC0" w:rsidRPr="001D3F98">
        <w:rPr>
          <w:rFonts w:ascii="Palatino Linotype" w:eastAsia="Times New Roman" w:hAnsi="Palatino Linotype" w:cs="Times New Roman"/>
          <w:b/>
          <w:bCs/>
          <w:sz w:val="24"/>
          <w:szCs w:val="24"/>
        </w:rPr>
        <w:t>.</w:t>
      </w:r>
      <w:r w:rsidR="005C4AC0" w:rsidRPr="001D3F98">
        <w:rPr>
          <w:rFonts w:ascii="Palatino Linotype" w:eastAsia="Times New Roman" w:hAnsi="Palatino Linotype" w:cs="Times New Roman"/>
          <w:sz w:val="24"/>
          <w:szCs w:val="24"/>
        </w:rPr>
        <w:t xml:space="preserve"> </w:t>
      </w:r>
      <w:r w:rsidR="00E20E5B" w:rsidRPr="00E20E5B">
        <w:rPr>
          <w:rFonts w:ascii="Palatino Linotype" w:eastAsia="Times New Roman" w:hAnsi="Palatino Linotype" w:cs="Times New Roman"/>
          <w:sz w:val="24"/>
          <w:szCs w:val="24"/>
        </w:rPr>
        <w:t>SERVQUAL Gap Analysis of the Training and Certification Services</w:t>
      </w:r>
    </w:p>
    <w:tbl>
      <w:tblPr>
        <w:tblStyle w:val="TableGrid"/>
        <w:tblW w:w="6521" w:type="dxa"/>
        <w:jc w:val="center"/>
        <w:tblLayout w:type="fixed"/>
        <w:tblLook w:val="0000" w:firstRow="0" w:lastRow="0" w:firstColumn="0" w:lastColumn="0" w:noHBand="0" w:noVBand="0"/>
      </w:tblPr>
      <w:tblGrid>
        <w:gridCol w:w="1276"/>
        <w:gridCol w:w="1276"/>
        <w:gridCol w:w="1417"/>
        <w:gridCol w:w="851"/>
        <w:gridCol w:w="1701"/>
      </w:tblGrid>
      <w:tr w:rsidR="005C4AC0" w:rsidRPr="001D3F98" w14:paraId="68819FCF" w14:textId="77777777" w:rsidTr="00EF23D8">
        <w:trPr>
          <w:trHeight w:val="270"/>
          <w:jc w:val="center"/>
        </w:trPr>
        <w:tc>
          <w:tcPr>
            <w:tcW w:w="1276" w:type="dxa"/>
            <w:tcBorders>
              <w:top w:val="single" w:sz="12" w:space="0" w:color="000000"/>
              <w:left w:val="nil"/>
              <w:bottom w:val="single" w:sz="12" w:space="0" w:color="000000"/>
              <w:right w:val="nil"/>
            </w:tcBorders>
          </w:tcPr>
          <w:p w14:paraId="7C9D717B" w14:textId="77777777" w:rsidR="005C4AC0" w:rsidRPr="001D3F98" w:rsidRDefault="005C4AC0"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0"/>
              </w:rPr>
              <w:t>Atribut</w:t>
            </w:r>
          </w:p>
        </w:tc>
        <w:tc>
          <w:tcPr>
            <w:tcW w:w="1276" w:type="dxa"/>
            <w:tcBorders>
              <w:top w:val="single" w:sz="12" w:space="0" w:color="000000"/>
              <w:left w:val="nil"/>
              <w:bottom w:val="single" w:sz="12" w:space="0" w:color="000000"/>
              <w:right w:val="nil"/>
            </w:tcBorders>
          </w:tcPr>
          <w:p w14:paraId="3F176C3A" w14:textId="77777777" w:rsidR="005C4AC0" w:rsidRPr="001D3F98"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Expectation</w:t>
            </w:r>
          </w:p>
        </w:tc>
        <w:tc>
          <w:tcPr>
            <w:tcW w:w="1417" w:type="dxa"/>
            <w:tcBorders>
              <w:top w:val="single" w:sz="12" w:space="0" w:color="000000"/>
              <w:left w:val="nil"/>
              <w:bottom w:val="single" w:sz="12" w:space="0" w:color="000000"/>
              <w:right w:val="nil"/>
            </w:tcBorders>
          </w:tcPr>
          <w:p w14:paraId="009FC052" w14:textId="77777777" w:rsidR="005C4AC0" w:rsidRPr="001D3F98" w:rsidRDefault="005C4AC0"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0"/>
              </w:rPr>
              <w:t>Performance</w:t>
            </w:r>
            <w:r w:rsidRPr="001D3F98">
              <w:rPr>
                <w:rFonts w:ascii="Palatino Linotype" w:eastAsia="Times New Roman" w:hAnsi="Palatino Linotype" w:cs="Times New Roman"/>
                <w:sz w:val="20"/>
                <w:szCs w:val="20"/>
              </w:rPr>
              <w:t xml:space="preserve"> </w:t>
            </w:r>
          </w:p>
        </w:tc>
        <w:tc>
          <w:tcPr>
            <w:tcW w:w="851" w:type="dxa"/>
            <w:tcBorders>
              <w:top w:val="single" w:sz="12" w:space="0" w:color="000000"/>
              <w:left w:val="nil"/>
              <w:bottom w:val="single" w:sz="12" w:space="0" w:color="000000"/>
              <w:right w:val="nil"/>
            </w:tcBorders>
          </w:tcPr>
          <w:p w14:paraId="0BA1B5B3" w14:textId="77777777" w:rsidR="005C4AC0" w:rsidRPr="001D3F98" w:rsidRDefault="005C4AC0"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0"/>
              </w:rPr>
              <w:t>Gap</w:t>
            </w:r>
          </w:p>
        </w:tc>
        <w:tc>
          <w:tcPr>
            <w:tcW w:w="1701" w:type="dxa"/>
            <w:tcBorders>
              <w:top w:val="single" w:sz="12" w:space="0" w:color="000000"/>
              <w:left w:val="nil"/>
              <w:bottom w:val="single" w:sz="12" w:space="0" w:color="000000"/>
              <w:right w:val="nil"/>
            </w:tcBorders>
          </w:tcPr>
          <w:p w14:paraId="55C45870"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Conformity (%)</w:t>
            </w:r>
          </w:p>
        </w:tc>
      </w:tr>
      <w:tr w:rsidR="005C4AC0" w:rsidRPr="001D3F98" w14:paraId="4B2F98DD" w14:textId="77777777" w:rsidTr="00EF23D8">
        <w:trPr>
          <w:trHeight w:val="105"/>
          <w:jc w:val="center"/>
        </w:trPr>
        <w:tc>
          <w:tcPr>
            <w:tcW w:w="1276" w:type="dxa"/>
            <w:tcBorders>
              <w:top w:val="single" w:sz="12" w:space="0" w:color="000000"/>
              <w:left w:val="nil"/>
              <w:bottom w:val="nil"/>
              <w:right w:val="nil"/>
            </w:tcBorders>
          </w:tcPr>
          <w:p w14:paraId="4FDCA58F" w14:textId="77777777" w:rsidR="005C4AC0" w:rsidRPr="001D3F98" w:rsidRDefault="005C4AC0"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0"/>
              </w:rPr>
              <w:t>A</w:t>
            </w:r>
            <w:r w:rsidRPr="001D3F98">
              <w:rPr>
                <w:rFonts w:ascii="Palatino Linotype" w:eastAsia="Times New Roman" w:hAnsi="Palatino Linotype" w:cs="Times New Roman"/>
                <w:sz w:val="20"/>
                <w:szCs w:val="20"/>
              </w:rPr>
              <w:t>1</w:t>
            </w:r>
          </w:p>
        </w:tc>
        <w:tc>
          <w:tcPr>
            <w:tcW w:w="1276" w:type="dxa"/>
            <w:tcBorders>
              <w:top w:val="single" w:sz="12" w:space="0" w:color="000000"/>
              <w:left w:val="nil"/>
              <w:bottom w:val="nil"/>
              <w:right w:val="nil"/>
            </w:tcBorders>
          </w:tcPr>
          <w:p w14:paraId="5EC8453A"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0"/>
              </w:rPr>
              <w:t>4.68</w:t>
            </w:r>
          </w:p>
        </w:tc>
        <w:tc>
          <w:tcPr>
            <w:tcW w:w="1417" w:type="dxa"/>
            <w:tcBorders>
              <w:top w:val="single" w:sz="12" w:space="0" w:color="000000"/>
              <w:left w:val="nil"/>
              <w:bottom w:val="nil"/>
              <w:right w:val="nil"/>
            </w:tcBorders>
          </w:tcPr>
          <w:p w14:paraId="44149996" w14:textId="77777777" w:rsidR="005C4AC0" w:rsidRPr="00EF23D8" w:rsidRDefault="00EF23D8" w:rsidP="00EF23D8">
            <w:pPr>
              <w:spacing w:after="0" w:line="240" w:lineRule="auto"/>
              <w:jc w:val="center"/>
              <w:rPr>
                <w:rFonts w:ascii="Palatino Linotype" w:eastAsia="Times New Roman" w:hAnsi="Palatino Linotype" w:cs="Times New Roman"/>
                <w:i/>
                <w:iCs/>
                <w:sz w:val="20"/>
                <w:szCs w:val="20"/>
              </w:rPr>
            </w:pPr>
            <w:r w:rsidRPr="00EF23D8">
              <w:rPr>
                <w:rFonts w:ascii="Palatino Linotype" w:eastAsia="Times New Roman" w:hAnsi="Palatino Linotype" w:cs="Times New Roman"/>
                <w:sz w:val="20"/>
                <w:szCs w:val="20"/>
              </w:rPr>
              <w:t>4.08</w:t>
            </w:r>
          </w:p>
        </w:tc>
        <w:tc>
          <w:tcPr>
            <w:tcW w:w="851" w:type="dxa"/>
            <w:tcBorders>
              <w:top w:val="single" w:sz="12" w:space="0" w:color="000000"/>
              <w:left w:val="nil"/>
              <w:bottom w:val="nil"/>
              <w:right w:val="nil"/>
            </w:tcBorders>
          </w:tcPr>
          <w:p w14:paraId="6554EF53" w14:textId="77777777" w:rsidR="005C4AC0" w:rsidRPr="00EF23D8" w:rsidRDefault="00EF23D8" w:rsidP="00BA6E41">
            <w:pPr>
              <w:spacing w:after="0" w:line="240" w:lineRule="auto"/>
              <w:jc w:val="center"/>
              <w:rPr>
                <w:rFonts w:ascii="Palatino Linotype" w:eastAsia="Times New Roman" w:hAnsi="Palatino Linotype" w:cs="Times New Roman"/>
                <w:i/>
                <w:iCs/>
                <w:sz w:val="20"/>
                <w:szCs w:val="20"/>
              </w:rPr>
            </w:pPr>
            <w:r w:rsidRPr="00EF23D8">
              <w:rPr>
                <w:rFonts w:ascii="Palatino Linotype" w:eastAsia="Times New Roman" w:hAnsi="Palatino Linotype" w:cs="Times New Roman"/>
                <w:sz w:val="20"/>
                <w:szCs w:val="20"/>
              </w:rPr>
              <w:t>-0.60</w:t>
            </w:r>
          </w:p>
        </w:tc>
        <w:tc>
          <w:tcPr>
            <w:tcW w:w="1701" w:type="dxa"/>
            <w:tcBorders>
              <w:top w:val="single" w:sz="12" w:space="0" w:color="000000"/>
              <w:left w:val="nil"/>
              <w:bottom w:val="nil"/>
              <w:right w:val="nil"/>
            </w:tcBorders>
          </w:tcPr>
          <w:p w14:paraId="066E2935"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0"/>
              </w:rPr>
              <w:t>87.18</w:t>
            </w:r>
          </w:p>
        </w:tc>
      </w:tr>
      <w:tr w:rsidR="005C4AC0" w:rsidRPr="001D3F98" w14:paraId="57325AFC" w14:textId="77777777" w:rsidTr="00EF23D8">
        <w:trPr>
          <w:trHeight w:val="105"/>
          <w:jc w:val="center"/>
        </w:trPr>
        <w:tc>
          <w:tcPr>
            <w:tcW w:w="1276" w:type="dxa"/>
            <w:tcBorders>
              <w:top w:val="nil"/>
              <w:left w:val="nil"/>
              <w:bottom w:val="nil"/>
              <w:right w:val="nil"/>
            </w:tcBorders>
          </w:tcPr>
          <w:p w14:paraId="7C08427A" w14:textId="77777777" w:rsidR="005C4AC0" w:rsidRPr="001D3F98" w:rsidRDefault="005C4AC0"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0"/>
              </w:rPr>
              <w:t>A</w:t>
            </w:r>
            <w:r w:rsidRPr="001D3F98">
              <w:rPr>
                <w:rFonts w:ascii="Palatino Linotype" w:eastAsia="Times New Roman" w:hAnsi="Palatino Linotype" w:cs="Times New Roman"/>
                <w:sz w:val="20"/>
                <w:szCs w:val="20"/>
              </w:rPr>
              <w:t>2</w:t>
            </w:r>
          </w:p>
        </w:tc>
        <w:tc>
          <w:tcPr>
            <w:tcW w:w="1276" w:type="dxa"/>
            <w:tcBorders>
              <w:top w:val="nil"/>
              <w:left w:val="nil"/>
              <w:bottom w:val="nil"/>
              <w:right w:val="nil"/>
            </w:tcBorders>
          </w:tcPr>
          <w:p w14:paraId="63EB4D9C"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0"/>
              </w:rPr>
              <w:t>4.74</w:t>
            </w:r>
          </w:p>
        </w:tc>
        <w:tc>
          <w:tcPr>
            <w:tcW w:w="1417" w:type="dxa"/>
            <w:tcBorders>
              <w:top w:val="nil"/>
              <w:left w:val="nil"/>
              <w:bottom w:val="nil"/>
              <w:right w:val="nil"/>
            </w:tcBorders>
          </w:tcPr>
          <w:p w14:paraId="550D4D49" w14:textId="77777777" w:rsidR="005C4AC0" w:rsidRPr="00EF23D8" w:rsidRDefault="00EF23D8" w:rsidP="00EF23D8">
            <w:pPr>
              <w:spacing w:after="0" w:line="240" w:lineRule="auto"/>
              <w:jc w:val="center"/>
              <w:rPr>
                <w:rFonts w:ascii="Palatino Linotype" w:eastAsia="Times New Roman" w:hAnsi="Palatino Linotype" w:cs="Times New Roman"/>
                <w:i/>
                <w:iCs/>
                <w:sz w:val="20"/>
                <w:szCs w:val="20"/>
              </w:rPr>
            </w:pPr>
            <w:r w:rsidRPr="00EF23D8">
              <w:rPr>
                <w:rFonts w:ascii="Palatino Linotype" w:eastAsia="Times New Roman" w:hAnsi="Palatino Linotype" w:cs="Times New Roman"/>
                <w:sz w:val="20"/>
                <w:szCs w:val="20"/>
              </w:rPr>
              <w:t>4.08</w:t>
            </w:r>
          </w:p>
        </w:tc>
        <w:tc>
          <w:tcPr>
            <w:tcW w:w="851" w:type="dxa"/>
            <w:tcBorders>
              <w:top w:val="nil"/>
              <w:left w:val="nil"/>
              <w:bottom w:val="nil"/>
              <w:right w:val="nil"/>
            </w:tcBorders>
          </w:tcPr>
          <w:p w14:paraId="7A5ACDC5" w14:textId="77777777" w:rsidR="005C4AC0" w:rsidRPr="00EF23D8" w:rsidRDefault="00EF23D8" w:rsidP="00BA6E41">
            <w:pPr>
              <w:spacing w:after="0" w:line="240" w:lineRule="auto"/>
              <w:jc w:val="center"/>
              <w:rPr>
                <w:rFonts w:ascii="Palatino Linotype" w:eastAsia="Times New Roman" w:hAnsi="Palatino Linotype" w:cs="Times New Roman"/>
                <w:i/>
                <w:iCs/>
                <w:sz w:val="20"/>
                <w:szCs w:val="20"/>
              </w:rPr>
            </w:pPr>
            <w:r w:rsidRPr="00EF23D8">
              <w:rPr>
                <w:rFonts w:ascii="Palatino Linotype" w:eastAsia="Times New Roman" w:hAnsi="Palatino Linotype" w:cs="Times New Roman"/>
                <w:sz w:val="20"/>
                <w:szCs w:val="20"/>
              </w:rPr>
              <w:t>-0.66</w:t>
            </w:r>
          </w:p>
        </w:tc>
        <w:tc>
          <w:tcPr>
            <w:tcW w:w="1701" w:type="dxa"/>
            <w:tcBorders>
              <w:top w:val="nil"/>
              <w:left w:val="nil"/>
              <w:bottom w:val="nil"/>
              <w:right w:val="nil"/>
            </w:tcBorders>
          </w:tcPr>
          <w:p w14:paraId="0895001F"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0"/>
              </w:rPr>
              <w:t>86.08</w:t>
            </w:r>
          </w:p>
        </w:tc>
      </w:tr>
      <w:tr w:rsidR="005C4AC0" w:rsidRPr="001D3F98" w14:paraId="3A76C756" w14:textId="77777777" w:rsidTr="00EF23D8">
        <w:trPr>
          <w:trHeight w:val="105"/>
          <w:jc w:val="center"/>
        </w:trPr>
        <w:tc>
          <w:tcPr>
            <w:tcW w:w="1276" w:type="dxa"/>
            <w:tcBorders>
              <w:top w:val="nil"/>
              <w:left w:val="nil"/>
              <w:bottom w:val="nil"/>
              <w:right w:val="nil"/>
            </w:tcBorders>
          </w:tcPr>
          <w:p w14:paraId="41D95874" w14:textId="77777777" w:rsidR="005C4AC0" w:rsidRPr="001D3F98" w:rsidRDefault="005C4AC0"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0"/>
              </w:rPr>
              <w:t>A</w:t>
            </w:r>
            <w:r w:rsidRPr="001D3F98">
              <w:rPr>
                <w:rFonts w:ascii="Palatino Linotype" w:eastAsia="Times New Roman" w:hAnsi="Palatino Linotype" w:cs="Times New Roman"/>
                <w:sz w:val="20"/>
                <w:szCs w:val="20"/>
              </w:rPr>
              <w:t>3</w:t>
            </w:r>
          </w:p>
        </w:tc>
        <w:tc>
          <w:tcPr>
            <w:tcW w:w="1276" w:type="dxa"/>
            <w:tcBorders>
              <w:top w:val="nil"/>
              <w:left w:val="nil"/>
              <w:bottom w:val="nil"/>
              <w:right w:val="nil"/>
            </w:tcBorders>
          </w:tcPr>
          <w:p w14:paraId="4A232AFD"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0"/>
              </w:rPr>
              <w:t>4.78</w:t>
            </w:r>
          </w:p>
        </w:tc>
        <w:tc>
          <w:tcPr>
            <w:tcW w:w="1417" w:type="dxa"/>
            <w:tcBorders>
              <w:top w:val="nil"/>
              <w:left w:val="nil"/>
              <w:bottom w:val="nil"/>
              <w:right w:val="nil"/>
            </w:tcBorders>
          </w:tcPr>
          <w:p w14:paraId="42350560" w14:textId="77777777" w:rsidR="005C4AC0" w:rsidRPr="00EF23D8" w:rsidRDefault="00EF23D8" w:rsidP="00EF23D8">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4"/>
              </w:rPr>
              <w:t>4.00</w:t>
            </w:r>
          </w:p>
        </w:tc>
        <w:tc>
          <w:tcPr>
            <w:tcW w:w="851" w:type="dxa"/>
            <w:tcBorders>
              <w:top w:val="nil"/>
              <w:left w:val="nil"/>
              <w:bottom w:val="nil"/>
              <w:right w:val="nil"/>
            </w:tcBorders>
          </w:tcPr>
          <w:p w14:paraId="071C0913" w14:textId="77777777" w:rsidR="005C4AC0" w:rsidRPr="0081461A" w:rsidRDefault="00EF23D8" w:rsidP="00BA6E41">
            <w:pPr>
              <w:spacing w:after="0" w:line="240" w:lineRule="auto"/>
              <w:jc w:val="center"/>
              <w:rPr>
                <w:rFonts w:ascii="Palatino Linotype" w:eastAsia="Times New Roman" w:hAnsi="Palatino Linotype" w:cs="Times New Roman"/>
                <w:i/>
                <w:iCs/>
                <w:sz w:val="20"/>
                <w:szCs w:val="20"/>
              </w:rPr>
            </w:pPr>
            <w:r w:rsidRPr="0081461A">
              <w:rPr>
                <w:rFonts w:ascii="Palatino Linotype" w:eastAsia="Times New Roman" w:hAnsi="Palatino Linotype" w:cs="Times New Roman"/>
                <w:sz w:val="20"/>
                <w:szCs w:val="24"/>
              </w:rPr>
              <w:t>-0.78</w:t>
            </w:r>
          </w:p>
        </w:tc>
        <w:tc>
          <w:tcPr>
            <w:tcW w:w="1701" w:type="dxa"/>
            <w:tcBorders>
              <w:top w:val="nil"/>
              <w:left w:val="nil"/>
              <w:bottom w:val="nil"/>
              <w:right w:val="nil"/>
            </w:tcBorders>
          </w:tcPr>
          <w:p w14:paraId="5994BF2B"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83.68</w:t>
            </w:r>
          </w:p>
        </w:tc>
      </w:tr>
      <w:tr w:rsidR="005C4AC0" w:rsidRPr="001D3F98" w14:paraId="1CAD7541" w14:textId="77777777" w:rsidTr="00EF23D8">
        <w:trPr>
          <w:trHeight w:val="120"/>
          <w:jc w:val="center"/>
        </w:trPr>
        <w:tc>
          <w:tcPr>
            <w:tcW w:w="1276" w:type="dxa"/>
            <w:tcBorders>
              <w:top w:val="nil"/>
              <w:left w:val="nil"/>
              <w:bottom w:val="nil"/>
              <w:right w:val="nil"/>
            </w:tcBorders>
          </w:tcPr>
          <w:p w14:paraId="79CA0B9A" w14:textId="77777777" w:rsidR="005C4AC0" w:rsidRPr="001D3F98" w:rsidRDefault="005C4AC0"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0"/>
              </w:rPr>
              <w:t>A</w:t>
            </w:r>
            <w:r w:rsidRPr="001D3F98">
              <w:rPr>
                <w:rFonts w:ascii="Palatino Linotype" w:eastAsia="Times New Roman" w:hAnsi="Palatino Linotype" w:cs="Times New Roman"/>
                <w:sz w:val="20"/>
                <w:szCs w:val="20"/>
              </w:rPr>
              <w:t>4</w:t>
            </w:r>
          </w:p>
        </w:tc>
        <w:tc>
          <w:tcPr>
            <w:tcW w:w="1276" w:type="dxa"/>
            <w:tcBorders>
              <w:top w:val="nil"/>
              <w:left w:val="nil"/>
              <w:bottom w:val="nil"/>
              <w:right w:val="nil"/>
            </w:tcBorders>
          </w:tcPr>
          <w:p w14:paraId="572BF939"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0"/>
              </w:rPr>
              <w:t>4.66</w:t>
            </w:r>
          </w:p>
        </w:tc>
        <w:tc>
          <w:tcPr>
            <w:tcW w:w="1417" w:type="dxa"/>
            <w:tcBorders>
              <w:top w:val="nil"/>
              <w:left w:val="nil"/>
              <w:bottom w:val="nil"/>
              <w:right w:val="nil"/>
            </w:tcBorders>
          </w:tcPr>
          <w:p w14:paraId="4D04D74C" w14:textId="77777777" w:rsidR="005C4AC0" w:rsidRPr="00EF23D8" w:rsidRDefault="00EF23D8" w:rsidP="00EF23D8">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4"/>
              </w:rPr>
              <w:t>4.02</w:t>
            </w:r>
          </w:p>
        </w:tc>
        <w:tc>
          <w:tcPr>
            <w:tcW w:w="851" w:type="dxa"/>
            <w:tcBorders>
              <w:top w:val="nil"/>
              <w:left w:val="nil"/>
              <w:bottom w:val="nil"/>
              <w:right w:val="nil"/>
            </w:tcBorders>
          </w:tcPr>
          <w:p w14:paraId="4DC46569" w14:textId="77777777" w:rsidR="005C4AC0" w:rsidRPr="00EF23D8" w:rsidRDefault="00EF23D8"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4"/>
              </w:rPr>
              <w:t>-0.64</w:t>
            </w:r>
          </w:p>
        </w:tc>
        <w:tc>
          <w:tcPr>
            <w:tcW w:w="1701" w:type="dxa"/>
            <w:tcBorders>
              <w:top w:val="nil"/>
              <w:left w:val="nil"/>
              <w:bottom w:val="nil"/>
              <w:right w:val="nil"/>
            </w:tcBorders>
          </w:tcPr>
          <w:p w14:paraId="02734F14"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86.27</w:t>
            </w:r>
          </w:p>
        </w:tc>
      </w:tr>
      <w:tr w:rsidR="005C4AC0" w:rsidRPr="001D3F98" w14:paraId="17CBFE0F" w14:textId="77777777" w:rsidTr="00EF23D8">
        <w:trPr>
          <w:trHeight w:val="120"/>
          <w:jc w:val="center"/>
        </w:trPr>
        <w:tc>
          <w:tcPr>
            <w:tcW w:w="1276" w:type="dxa"/>
            <w:tcBorders>
              <w:top w:val="nil"/>
              <w:left w:val="nil"/>
              <w:bottom w:val="nil"/>
              <w:right w:val="nil"/>
            </w:tcBorders>
          </w:tcPr>
          <w:p w14:paraId="457800ED"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A5</w:t>
            </w:r>
          </w:p>
        </w:tc>
        <w:tc>
          <w:tcPr>
            <w:tcW w:w="1276" w:type="dxa"/>
            <w:tcBorders>
              <w:top w:val="nil"/>
              <w:left w:val="nil"/>
              <w:bottom w:val="nil"/>
              <w:right w:val="nil"/>
            </w:tcBorders>
          </w:tcPr>
          <w:p w14:paraId="27C86B6D"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0"/>
              </w:rPr>
              <w:t>4.70</w:t>
            </w:r>
          </w:p>
        </w:tc>
        <w:tc>
          <w:tcPr>
            <w:tcW w:w="1417" w:type="dxa"/>
            <w:tcBorders>
              <w:top w:val="nil"/>
              <w:left w:val="nil"/>
              <w:bottom w:val="nil"/>
              <w:right w:val="nil"/>
            </w:tcBorders>
          </w:tcPr>
          <w:p w14:paraId="4ECDFA95" w14:textId="77777777" w:rsidR="005C4AC0" w:rsidRPr="00EF23D8" w:rsidRDefault="00EF23D8" w:rsidP="00EF23D8">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4.06</w:t>
            </w:r>
          </w:p>
        </w:tc>
        <w:tc>
          <w:tcPr>
            <w:tcW w:w="851" w:type="dxa"/>
            <w:tcBorders>
              <w:top w:val="nil"/>
              <w:left w:val="nil"/>
              <w:bottom w:val="nil"/>
              <w:right w:val="nil"/>
            </w:tcBorders>
          </w:tcPr>
          <w:p w14:paraId="4F12F2A1"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w:t>
            </w:r>
            <w:r w:rsidRPr="00EF23D8">
              <w:rPr>
                <w:rFonts w:ascii="Palatino Linotype" w:eastAsia="Times New Roman" w:hAnsi="Palatino Linotype" w:cs="Times New Roman"/>
                <w:sz w:val="20"/>
                <w:szCs w:val="24"/>
              </w:rPr>
              <w:t>0.64</w:t>
            </w:r>
          </w:p>
        </w:tc>
        <w:tc>
          <w:tcPr>
            <w:tcW w:w="1701" w:type="dxa"/>
            <w:tcBorders>
              <w:top w:val="nil"/>
              <w:left w:val="nil"/>
              <w:bottom w:val="nil"/>
              <w:right w:val="nil"/>
            </w:tcBorders>
          </w:tcPr>
          <w:p w14:paraId="24F2F5CA"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86.38</w:t>
            </w:r>
          </w:p>
        </w:tc>
      </w:tr>
      <w:tr w:rsidR="005C4AC0" w:rsidRPr="001D3F98" w14:paraId="45973761" w14:textId="77777777" w:rsidTr="00EF23D8">
        <w:trPr>
          <w:trHeight w:val="120"/>
          <w:jc w:val="center"/>
        </w:trPr>
        <w:tc>
          <w:tcPr>
            <w:tcW w:w="1276" w:type="dxa"/>
            <w:tcBorders>
              <w:top w:val="nil"/>
              <w:left w:val="nil"/>
              <w:bottom w:val="nil"/>
              <w:right w:val="nil"/>
            </w:tcBorders>
          </w:tcPr>
          <w:p w14:paraId="07DE375B"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A6</w:t>
            </w:r>
          </w:p>
        </w:tc>
        <w:tc>
          <w:tcPr>
            <w:tcW w:w="1276" w:type="dxa"/>
            <w:tcBorders>
              <w:top w:val="nil"/>
              <w:left w:val="nil"/>
              <w:bottom w:val="nil"/>
              <w:right w:val="nil"/>
            </w:tcBorders>
          </w:tcPr>
          <w:p w14:paraId="72FE507C" w14:textId="77777777" w:rsidR="005C4AC0" w:rsidRPr="00EF23D8" w:rsidRDefault="00EF23D8" w:rsidP="00EF23D8">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4.66</w:t>
            </w:r>
          </w:p>
        </w:tc>
        <w:tc>
          <w:tcPr>
            <w:tcW w:w="1417" w:type="dxa"/>
            <w:tcBorders>
              <w:top w:val="nil"/>
              <w:left w:val="nil"/>
              <w:bottom w:val="nil"/>
              <w:right w:val="nil"/>
            </w:tcBorders>
          </w:tcPr>
          <w:p w14:paraId="21628841"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4.00</w:t>
            </w:r>
          </w:p>
        </w:tc>
        <w:tc>
          <w:tcPr>
            <w:tcW w:w="851" w:type="dxa"/>
            <w:tcBorders>
              <w:top w:val="nil"/>
              <w:left w:val="nil"/>
              <w:bottom w:val="nil"/>
              <w:right w:val="nil"/>
            </w:tcBorders>
          </w:tcPr>
          <w:p w14:paraId="5C11EBF8"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-0.66</w:t>
            </w:r>
          </w:p>
        </w:tc>
        <w:tc>
          <w:tcPr>
            <w:tcW w:w="1701" w:type="dxa"/>
            <w:tcBorders>
              <w:top w:val="nil"/>
              <w:left w:val="nil"/>
              <w:bottom w:val="nil"/>
              <w:right w:val="nil"/>
            </w:tcBorders>
          </w:tcPr>
          <w:p w14:paraId="36967870" w14:textId="77777777" w:rsidR="005C4AC0" w:rsidRPr="00EF23D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85.84</w:t>
            </w:r>
          </w:p>
        </w:tc>
      </w:tr>
      <w:tr w:rsidR="005C4AC0" w:rsidRPr="001D3F98" w14:paraId="21E0E8F2" w14:textId="77777777" w:rsidTr="00EF23D8">
        <w:trPr>
          <w:trHeight w:val="120"/>
          <w:jc w:val="center"/>
        </w:trPr>
        <w:tc>
          <w:tcPr>
            <w:tcW w:w="1276" w:type="dxa"/>
            <w:tcBorders>
              <w:top w:val="nil"/>
              <w:left w:val="nil"/>
              <w:bottom w:val="nil"/>
              <w:right w:val="nil"/>
            </w:tcBorders>
          </w:tcPr>
          <w:p w14:paraId="55346425"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A7</w:t>
            </w:r>
          </w:p>
        </w:tc>
        <w:tc>
          <w:tcPr>
            <w:tcW w:w="1276" w:type="dxa"/>
            <w:tcBorders>
              <w:top w:val="nil"/>
              <w:left w:val="nil"/>
              <w:bottom w:val="nil"/>
              <w:right w:val="nil"/>
            </w:tcBorders>
          </w:tcPr>
          <w:p w14:paraId="55F2CC76" w14:textId="77777777" w:rsidR="005C4AC0" w:rsidRPr="001D3F98" w:rsidRDefault="00EF23D8" w:rsidP="00EF23D8">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4.76</w:t>
            </w:r>
          </w:p>
        </w:tc>
        <w:tc>
          <w:tcPr>
            <w:tcW w:w="1417" w:type="dxa"/>
            <w:tcBorders>
              <w:top w:val="nil"/>
              <w:left w:val="nil"/>
              <w:bottom w:val="nil"/>
              <w:right w:val="nil"/>
            </w:tcBorders>
          </w:tcPr>
          <w:p w14:paraId="5E9AAFB8"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4.16</w:t>
            </w:r>
          </w:p>
        </w:tc>
        <w:tc>
          <w:tcPr>
            <w:tcW w:w="851" w:type="dxa"/>
            <w:tcBorders>
              <w:top w:val="nil"/>
              <w:left w:val="nil"/>
              <w:bottom w:val="nil"/>
              <w:right w:val="nil"/>
            </w:tcBorders>
          </w:tcPr>
          <w:p w14:paraId="6F54126A"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-0.60</w:t>
            </w:r>
          </w:p>
        </w:tc>
        <w:tc>
          <w:tcPr>
            <w:tcW w:w="1701" w:type="dxa"/>
            <w:tcBorders>
              <w:top w:val="nil"/>
              <w:left w:val="nil"/>
              <w:bottom w:val="nil"/>
              <w:right w:val="nil"/>
            </w:tcBorders>
          </w:tcPr>
          <w:p w14:paraId="07534DEB"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87.39</w:t>
            </w:r>
          </w:p>
        </w:tc>
      </w:tr>
      <w:tr w:rsidR="005C4AC0" w:rsidRPr="001D3F98" w14:paraId="3129A2F1" w14:textId="77777777" w:rsidTr="00EF23D8">
        <w:trPr>
          <w:trHeight w:val="120"/>
          <w:jc w:val="center"/>
        </w:trPr>
        <w:tc>
          <w:tcPr>
            <w:tcW w:w="1276" w:type="dxa"/>
            <w:tcBorders>
              <w:top w:val="nil"/>
              <w:left w:val="nil"/>
              <w:bottom w:val="nil"/>
              <w:right w:val="nil"/>
            </w:tcBorders>
          </w:tcPr>
          <w:p w14:paraId="4C5544B6"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A8</w:t>
            </w:r>
          </w:p>
        </w:tc>
        <w:tc>
          <w:tcPr>
            <w:tcW w:w="1276" w:type="dxa"/>
            <w:tcBorders>
              <w:top w:val="nil"/>
              <w:left w:val="nil"/>
              <w:bottom w:val="nil"/>
              <w:right w:val="nil"/>
            </w:tcBorders>
          </w:tcPr>
          <w:p w14:paraId="7E39C7D0" w14:textId="77777777" w:rsidR="005C4AC0" w:rsidRPr="001D3F98" w:rsidRDefault="00EF23D8" w:rsidP="00EF23D8">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4.74</w:t>
            </w:r>
          </w:p>
        </w:tc>
        <w:tc>
          <w:tcPr>
            <w:tcW w:w="1417" w:type="dxa"/>
            <w:tcBorders>
              <w:top w:val="nil"/>
              <w:left w:val="nil"/>
              <w:bottom w:val="nil"/>
              <w:right w:val="nil"/>
            </w:tcBorders>
          </w:tcPr>
          <w:p w14:paraId="09B384A1"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4.10</w:t>
            </w:r>
          </w:p>
        </w:tc>
        <w:tc>
          <w:tcPr>
            <w:tcW w:w="851" w:type="dxa"/>
            <w:tcBorders>
              <w:top w:val="nil"/>
              <w:left w:val="nil"/>
              <w:bottom w:val="nil"/>
              <w:right w:val="nil"/>
            </w:tcBorders>
          </w:tcPr>
          <w:p w14:paraId="46F3D6F3"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-0.64</w:t>
            </w:r>
          </w:p>
        </w:tc>
        <w:tc>
          <w:tcPr>
            <w:tcW w:w="1701" w:type="dxa"/>
            <w:tcBorders>
              <w:top w:val="nil"/>
              <w:left w:val="nil"/>
              <w:bottom w:val="nil"/>
              <w:right w:val="nil"/>
            </w:tcBorders>
          </w:tcPr>
          <w:p w14:paraId="138A068A"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86.50</w:t>
            </w:r>
          </w:p>
        </w:tc>
      </w:tr>
      <w:tr w:rsidR="005C4AC0" w:rsidRPr="001D3F98" w14:paraId="11134A1D" w14:textId="77777777" w:rsidTr="00EF23D8">
        <w:trPr>
          <w:trHeight w:val="120"/>
          <w:jc w:val="center"/>
        </w:trPr>
        <w:tc>
          <w:tcPr>
            <w:tcW w:w="1276" w:type="dxa"/>
            <w:tcBorders>
              <w:top w:val="nil"/>
              <w:left w:val="nil"/>
              <w:bottom w:val="nil"/>
              <w:right w:val="nil"/>
            </w:tcBorders>
          </w:tcPr>
          <w:p w14:paraId="255CC3FB"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A9</w:t>
            </w:r>
          </w:p>
        </w:tc>
        <w:tc>
          <w:tcPr>
            <w:tcW w:w="1276" w:type="dxa"/>
            <w:tcBorders>
              <w:top w:val="nil"/>
              <w:left w:val="nil"/>
              <w:bottom w:val="nil"/>
              <w:right w:val="nil"/>
            </w:tcBorders>
          </w:tcPr>
          <w:p w14:paraId="72D73226" w14:textId="77777777" w:rsidR="005C4AC0" w:rsidRPr="001D3F98" w:rsidRDefault="00EF23D8" w:rsidP="00EF23D8">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4.70</w:t>
            </w:r>
          </w:p>
        </w:tc>
        <w:tc>
          <w:tcPr>
            <w:tcW w:w="1417" w:type="dxa"/>
            <w:tcBorders>
              <w:top w:val="nil"/>
              <w:left w:val="nil"/>
              <w:bottom w:val="nil"/>
              <w:right w:val="nil"/>
            </w:tcBorders>
          </w:tcPr>
          <w:p w14:paraId="44ABBDF6"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3.98</w:t>
            </w:r>
          </w:p>
        </w:tc>
        <w:tc>
          <w:tcPr>
            <w:tcW w:w="851" w:type="dxa"/>
            <w:tcBorders>
              <w:top w:val="nil"/>
              <w:left w:val="nil"/>
              <w:bottom w:val="nil"/>
              <w:right w:val="nil"/>
            </w:tcBorders>
          </w:tcPr>
          <w:p w14:paraId="0BA35E69" w14:textId="77777777" w:rsidR="005C4AC0" w:rsidRPr="0081461A" w:rsidRDefault="00EF23D8" w:rsidP="00BA6E41">
            <w:pPr>
              <w:spacing w:after="0" w:line="240" w:lineRule="auto"/>
              <w:jc w:val="center"/>
              <w:rPr>
                <w:rFonts w:ascii="Palatino Linotype" w:eastAsia="Times New Roman" w:hAnsi="Palatino Linotype" w:cs="Times New Roman"/>
                <w:sz w:val="20"/>
                <w:szCs w:val="20"/>
              </w:rPr>
            </w:pPr>
            <w:r w:rsidRPr="0081461A">
              <w:rPr>
                <w:rFonts w:ascii="Palatino Linotype" w:eastAsia="Times New Roman" w:hAnsi="Palatino Linotype" w:cs="Times New Roman"/>
                <w:sz w:val="20"/>
                <w:szCs w:val="24"/>
              </w:rPr>
              <w:t>-0.72</w:t>
            </w:r>
          </w:p>
        </w:tc>
        <w:tc>
          <w:tcPr>
            <w:tcW w:w="1701" w:type="dxa"/>
            <w:tcBorders>
              <w:top w:val="nil"/>
              <w:left w:val="nil"/>
              <w:bottom w:val="nil"/>
              <w:right w:val="nil"/>
            </w:tcBorders>
          </w:tcPr>
          <w:p w14:paraId="1569A608"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84.68</w:t>
            </w:r>
          </w:p>
        </w:tc>
      </w:tr>
      <w:tr w:rsidR="005C4AC0" w:rsidRPr="001D3F98" w14:paraId="2DAE729C" w14:textId="77777777" w:rsidTr="00EF23D8">
        <w:trPr>
          <w:trHeight w:val="120"/>
          <w:jc w:val="center"/>
        </w:trPr>
        <w:tc>
          <w:tcPr>
            <w:tcW w:w="1276" w:type="dxa"/>
            <w:tcBorders>
              <w:top w:val="nil"/>
              <w:left w:val="nil"/>
              <w:bottom w:val="nil"/>
              <w:right w:val="nil"/>
            </w:tcBorders>
          </w:tcPr>
          <w:p w14:paraId="2C0EFFC5"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A10</w:t>
            </w:r>
          </w:p>
        </w:tc>
        <w:tc>
          <w:tcPr>
            <w:tcW w:w="1276" w:type="dxa"/>
            <w:tcBorders>
              <w:top w:val="nil"/>
              <w:left w:val="nil"/>
              <w:bottom w:val="nil"/>
              <w:right w:val="nil"/>
            </w:tcBorders>
          </w:tcPr>
          <w:p w14:paraId="5676FC1C" w14:textId="77777777" w:rsidR="005C4AC0" w:rsidRPr="001D3F98" w:rsidRDefault="00EF23D8" w:rsidP="00EF23D8">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4.72</w:t>
            </w:r>
          </w:p>
        </w:tc>
        <w:tc>
          <w:tcPr>
            <w:tcW w:w="1417" w:type="dxa"/>
            <w:tcBorders>
              <w:top w:val="nil"/>
              <w:left w:val="nil"/>
              <w:bottom w:val="nil"/>
              <w:right w:val="nil"/>
            </w:tcBorders>
          </w:tcPr>
          <w:p w14:paraId="2DB2AC51"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4.22</w:t>
            </w:r>
          </w:p>
        </w:tc>
        <w:tc>
          <w:tcPr>
            <w:tcW w:w="851" w:type="dxa"/>
            <w:tcBorders>
              <w:top w:val="nil"/>
              <w:left w:val="nil"/>
              <w:bottom w:val="nil"/>
              <w:right w:val="nil"/>
            </w:tcBorders>
          </w:tcPr>
          <w:p w14:paraId="3A8979B7"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-0.50</w:t>
            </w:r>
          </w:p>
        </w:tc>
        <w:tc>
          <w:tcPr>
            <w:tcW w:w="1701" w:type="dxa"/>
            <w:tcBorders>
              <w:top w:val="nil"/>
              <w:left w:val="nil"/>
              <w:bottom w:val="nil"/>
              <w:right w:val="nil"/>
            </w:tcBorders>
          </w:tcPr>
          <w:p w14:paraId="470F3699" w14:textId="77777777" w:rsidR="005C4AC0" w:rsidRPr="001D3F98" w:rsidRDefault="00EF23D8"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89.41</w:t>
            </w:r>
          </w:p>
        </w:tc>
      </w:tr>
      <w:tr w:rsidR="005C4AC0" w:rsidRPr="001D3F98" w14:paraId="33A2CAFA" w14:textId="77777777" w:rsidTr="00EF23D8">
        <w:trPr>
          <w:trHeight w:val="120"/>
          <w:jc w:val="center"/>
        </w:trPr>
        <w:tc>
          <w:tcPr>
            <w:tcW w:w="1276" w:type="dxa"/>
            <w:tcBorders>
              <w:top w:val="nil"/>
              <w:left w:val="nil"/>
              <w:bottom w:val="nil"/>
              <w:right w:val="nil"/>
            </w:tcBorders>
          </w:tcPr>
          <w:p w14:paraId="186F9B26"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A11</w:t>
            </w:r>
          </w:p>
        </w:tc>
        <w:tc>
          <w:tcPr>
            <w:tcW w:w="1276" w:type="dxa"/>
            <w:tcBorders>
              <w:top w:val="nil"/>
              <w:left w:val="nil"/>
              <w:bottom w:val="nil"/>
              <w:right w:val="nil"/>
            </w:tcBorders>
          </w:tcPr>
          <w:p w14:paraId="0C9FB76E" w14:textId="77777777" w:rsidR="005C4AC0" w:rsidRPr="001D3F98" w:rsidRDefault="0081461A" w:rsidP="0081461A">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4.60</w:t>
            </w:r>
          </w:p>
        </w:tc>
        <w:tc>
          <w:tcPr>
            <w:tcW w:w="1417" w:type="dxa"/>
            <w:tcBorders>
              <w:top w:val="nil"/>
              <w:left w:val="nil"/>
              <w:bottom w:val="nil"/>
              <w:right w:val="nil"/>
            </w:tcBorders>
          </w:tcPr>
          <w:p w14:paraId="664CBA65"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4.00</w:t>
            </w:r>
          </w:p>
        </w:tc>
        <w:tc>
          <w:tcPr>
            <w:tcW w:w="851" w:type="dxa"/>
            <w:tcBorders>
              <w:top w:val="nil"/>
              <w:left w:val="nil"/>
              <w:bottom w:val="nil"/>
              <w:right w:val="nil"/>
            </w:tcBorders>
          </w:tcPr>
          <w:p w14:paraId="2897A0D1"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-0.60</w:t>
            </w:r>
          </w:p>
        </w:tc>
        <w:tc>
          <w:tcPr>
            <w:tcW w:w="1701" w:type="dxa"/>
            <w:tcBorders>
              <w:top w:val="nil"/>
              <w:left w:val="nil"/>
              <w:bottom w:val="nil"/>
              <w:right w:val="nil"/>
            </w:tcBorders>
          </w:tcPr>
          <w:p w14:paraId="5C012985"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86.96</w:t>
            </w:r>
          </w:p>
        </w:tc>
      </w:tr>
      <w:tr w:rsidR="005C4AC0" w:rsidRPr="001D3F98" w14:paraId="13712EA2" w14:textId="77777777" w:rsidTr="00EF23D8">
        <w:trPr>
          <w:trHeight w:val="120"/>
          <w:jc w:val="center"/>
        </w:trPr>
        <w:tc>
          <w:tcPr>
            <w:tcW w:w="1276" w:type="dxa"/>
            <w:tcBorders>
              <w:top w:val="nil"/>
              <w:left w:val="nil"/>
              <w:bottom w:val="nil"/>
              <w:right w:val="nil"/>
            </w:tcBorders>
          </w:tcPr>
          <w:p w14:paraId="0751B5BC"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A12</w:t>
            </w:r>
          </w:p>
        </w:tc>
        <w:tc>
          <w:tcPr>
            <w:tcW w:w="1276" w:type="dxa"/>
            <w:tcBorders>
              <w:top w:val="nil"/>
              <w:left w:val="nil"/>
              <w:bottom w:val="nil"/>
              <w:right w:val="nil"/>
            </w:tcBorders>
          </w:tcPr>
          <w:p w14:paraId="64B5A9C3" w14:textId="77777777" w:rsidR="005C4AC0" w:rsidRPr="001D3F98" w:rsidRDefault="0081461A" w:rsidP="0081461A">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4.68</w:t>
            </w:r>
          </w:p>
        </w:tc>
        <w:tc>
          <w:tcPr>
            <w:tcW w:w="1417" w:type="dxa"/>
            <w:tcBorders>
              <w:top w:val="nil"/>
              <w:left w:val="nil"/>
              <w:bottom w:val="nil"/>
              <w:right w:val="nil"/>
            </w:tcBorders>
          </w:tcPr>
          <w:p w14:paraId="283E8E16"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3.96</w:t>
            </w:r>
          </w:p>
        </w:tc>
        <w:tc>
          <w:tcPr>
            <w:tcW w:w="851" w:type="dxa"/>
            <w:tcBorders>
              <w:top w:val="nil"/>
              <w:left w:val="nil"/>
              <w:bottom w:val="nil"/>
              <w:right w:val="nil"/>
            </w:tcBorders>
          </w:tcPr>
          <w:p w14:paraId="02DD9938"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-0.72</w:t>
            </w:r>
          </w:p>
        </w:tc>
        <w:tc>
          <w:tcPr>
            <w:tcW w:w="1701" w:type="dxa"/>
            <w:tcBorders>
              <w:top w:val="nil"/>
              <w:left w:val="nil"/>
              <w:bottom w:val="nil"/>
              <w:right w:val="nil"/>
            </w:tcBorders>
          </w:tcPr>
          <w:p w14:paraId="0A4BA7CE"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84.62</w:t>
            </w:r>
          </w:p>
        </w:tc>
      </w:tr>
      <w:tr w:rsidR="005C4AC0" w:rsidRPr="001D3F98" w14:paraId="41BBEDED" w14:textId="77777777" w:rsidTr="00EF23D8">
        <w:trPr>
          <w:trHeight w:val="120"/>
          <w:jc w:val="center"/>
        </w:trPr>
        <w:tc>
          <w:tcPr>
            <w:tcW w:w="1276" w:type="dxa"/>
            <w:tcBorders>
              <w:top w:val="nil"/>
              <w:left w:val="nil"/>
              <w:bottom w:val="nil"/>
              <w:right w:val="nil"/>
            </w:tcBorders>
          </w:tcPr>
          <w:p w14:paraId="7816A813"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A13</w:t>
            </w:r>
          </w:p>
        </w:tc>
        <w:tc>
          <w:tcPr>
            <w:tcW w:w="1276" w:type="dxa"/>
            <w:tcBorders>
              <w:top w:val="nil"/>
              <w:left w:val="nil"/>
              <w:bottom w:val="nil"/>
              <w:right w:val="nil"/>
            </w:tcBorders>
          </w:tcPr>
          <w:p w14:paraId="183ACA71" w14:textId="77777777" w:rsidR="005C4AC0" w:rsidRPr="001D3F98" w:rsidRDefault="0081461A" w:rsidP="0081461A">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 xml:space="preserve">4.72 </w:t>
            </w:r>
          </w:p>
        </w:tc>
        <w:tc>
          <w:tcPr>
            <w:tcW w:w="1417" w:type="dxa"/>
            <w:tcBorders>
              <w:top w:val="nil"/>
              <w:left w:val="nil"/>
              <w:bottom w:val="nil"/>
              <w:right w:val="nil"/>
            </w:tcBorders>
          </w:tcPr>
          <w:p w14:paraId="227511B7"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4.16</w:t>
            </w:r>
          </w:p>
        </w:tc>
        <w:tc>
          <w:tcPr>
            <w:tcW w:w="851" w:type="dxa"/>
            <w:tcBorders>
              <w:top w:val="nil"/>
              <w:left w:val="nil"/>
              <w:bottom w:val="nil"/>
              <w:right w:val="nil"/>
            </w:tcBorders>
          </w:tcPr>
          <w:p w14:paraId="003569F5"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-0.56</w:t>
            </w:r>
          </w:p>
        </w:tc>
        <w:tc>
          <w:tcPr>
            <w:tcW w:w="1701" w:type="dxa"/>
            <w:tcBorders>
              <w:top w:val="nil"/>
              <w:left w:val="nil"/>
              <w:bottom w:val="nil"/>
              <w:right w:val="nil"/>
            </w:tcBorders>
          </w:tcPr>
          <w:p w14:paraId="1C2E92A1"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88.14</w:t>
            </w:r>
          </w:p>
        </w:tc>
      </w:tr>
      <w:tr w:rsidR="005C4AC0" w:rsidRPr="001D3F98" w14:paraId="15CD744E" w14:textId="77777777" w:rsidTr="00EF23D8">
        <w:trPr>
          <w:trHeight w:val="120"/>
          <w:jc w:val="center"/>
        </w:trPr>
        <w:tc>
          <w:tcPr>
            <w:tcW w:w="1276" w:type="dxa"/>
            <w:tcBorders>
              <w:top w:val="nil"/>
              <w:left w:val="nil"/>
              <w:bottom w:val="nil"/>
              <w:right w:val="nil"/>
            </w:tcBorders>
          </w:tcPr>
          <w:p w14:paraId="61A3713E"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A14</w:t>
            </w:r>
          </w:p>
        </w:tc>
        <w:tc>
          <w:tcPr>
            <w:tcW w:w="1276" w:type="dxa"/>
            <w:tcBorders>
              <w:top w:val="nil"/>
              <w:left w:val="nil"/>
              <w:bottom w:val="nil"/>
              <w:right w:val="nil"/>
            </w:tcBorders>
          </w:tcPr>
          <w:p w14:paraId="563C30B0" w14:textId="77777777" w:rsidR="005C4AC0" w:rsidRPr="001D3F98" w:rsidRDefault="0081461A" w:rsidP="0081461A">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4.76</w:t>
            </w:r>
          </w:p>
        </w:tc>
        <w:tc>
          <w:tcPr>
            <w:tcW w:w="1417" w:type="dxa"/>
            <w:tcBorders>
              <w:top w:val="nil"/>
              <w:left w:val="nil"/>
              <w:bottom w:val="nil"/>
              <w:right w:val="nil"/>
            </w:tcBorders>
          </w:tcPr>
          <w:p w14:paraId="5E24AF9F"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4.20</w:t>
            </w:r>
          </w:p>
        </w:tc>
        <w:tc>
          <w:tcPr>
            <w:tcW w:w="851" w:type="dxa"/>
            <w:tcBorders>
              <w:top w:val="nil"/>
              <w:left w:val="nil"/>
              <w:bottom w:val="nil"/>
              <w:right w:val="nil"/>
            </w:tcBorders>
          </w:tcPr>
          <w:p w14:paraId="40723EE1"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-0.56</w:t>
            </w:r>
          </w:p>
        </w:tc>
        <w:tc>
          <w:tcPr>
            <w:tcW w:w="1701" w:type="dxa"/>
            <w:tcBorders>
              <w:top w:val="nil"/>
              <w:left w:val="nil"/>
              <w:bottom w:val="nil"/>
              <w:right w:val="nil"/>
            </w:tcBorders>
          </w:tcPr>
          <w:p w14:paraId="79E30897"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88.24</w:t>
            </w:r>
          </w:p>
        </w:tc>
      </w:tr>
      <w:tr w:rsidR="005C4AC0" w:rsidRPr="001D3F98" w14:paraId="46AB9FA1" w14:textId="77777777" w:rsidTr="00EF23D8">
        <w:trPr>
          <w:trHeight w:val="120"/>
          <w:jc w:val="center"/>
        </w:trPr>
        <w:tc>
          <w:tcPr>
            <w:tcW w:w="1276" w:type="dxa"/>
            <w:tcBorders>
              <w:top w:val="nil"/>
              <w:left w:val="nil"/>
              <w:bottom w:val="nil"/>
              <w:right w:val="nil"/>
            </w:tcBorders>
          </w:tcPr>
          <w:p w14:paraId="05F39A19"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A15</w:t>
            </w:r>
          </w:p>
        </w:tc>
        <w:tc>
          <w:tcPr>
            <w:tcW w:w="1276" w:type="dxa"/>
            <w:tcBorders>
              <w:top w:val="nil"/>
              <w:left w:val="nil"/>
              <w:bottom w:val="nil"/>
              <w:right w:val="nil"/>
            </w:tcBorders>
          </w:tcPr>
          <w:p w14:paraId="6D6B68AD" w14:textId="77777777" w:rsidR="005C4AC0" w:rsidRPr="001D3F98" w:rsidRDefault="0081461A" w:rsidP="0081461A">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4.66</w:t>
            </w:r>
          </w:p>
        </w:tc>
        <w:tc>
          <w:tcPr>
            <w:tcW w:w="1417" w:type="dxa"/>
            <w:tcBorders>
              <w:top w:val="nil"/>
              <w:left w:val="nil"/>
              <w:bottom w:val="nil"/>
              <w:right w:val="nil"/>
            </w:tcBorders>
          </w:tcPr>
          <w:p w14:paraId="4C9BAC82"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3.82</w:t>
            </w:r>
          </w:p>
        </w:tc>
        <w:tc>
          <w:tcPr>
            <w:tcW w:w="851" w:type="dxa"/>
            <w:tcBorders>
              <w:top w:val="nil"/>
              <w:left w:val="nil"/>
              <w:bottom w:val="nil"/>
              <w:right w:val="nil"/>
            </w:tcBorders>
          </w:tcPr>
          <w:p w14:paraId="0B35D437"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-0.84</w:t>
            </w:r>
          </w:p>
        </w:tc>
        <w:tc>
          <w:tcPr>
            <w:tcW w:w="1701" w:type="dxa"/>
            <w:tcBorders>
              <w:top w:val="nil"/>
              <w:left w:val="nil"/>
              <w:bottom w:val="nil"/>
              <w:right w:val="nil"/>
            </w:tcBorders>
          </w:tcPr>
          <w:p w14:paraId="2B1B056B"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81.97</w:t>
            </w:r>
          </w:p>
        </w:tc>
      </w:tr>
      <w:tr w:rsidR="005C4AC0" w:rsidRPr="001D3F98" w14:paraId="20704BA0" w14:textId="77777777" w:rsidTr="00EF23D8">
        <w:trPr>
          <w:trHeight w:val="120"/>
          <w:jc w:val="center"/>
        </w:trPr>
        <w:tc>
          <w:tcPr>
            <w:tcW w:w="1276" w:type="dxa"/>
            <w:tcBorders>
              <w:top w:val="nil"/>
              <w:left w:val="nil"/>
              <w:bottom w:val="nil"/>
              <w:right w:val="nil"/>
            </w:tcBorders>
          </w:tcPr>
          <w:p w14:paraId="4117C173"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A16</w:t>
            </w:r>
          </w:p>
        </w:tc>
        <w:tc>
          <w:tcPr>
            <w:tcW w:w="1276" w:type="dxa"/>
            <w:tcBorders>
              <w:top w:val="nil"/>
              <w:left w:val="nil"/>
              <w:bottom w:val="nil"/>
              <w:right w:val="nil"/>
            </w:tcBorders>
          </w:tcPr>
          <w:p w14:paraId="47652A13" w14:textId="77777777" w:rsidR="005C4AC0" w:rsidRPr="001D3F98" w:rsidRDefault="0081461A" w:rsidP="0081461A">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4.64</w:t>
            </w:r>
          </w:p>
        </w:tc>
        <w:tc>
          <w:tcPr>
            <w:tcW w:w="1417" w:type="dxa"/>
            <w:tcBorders>
              <w:top w:val="nil"/>
              <w:left w:val="nil"/>
              <w:bottom w:val="nil"/>
              <w:right w:val="nil"/>
            </w:tcBorders>
          </w:tcPr>
          <w:p w14:paraId="0F0BF7D1"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3.96</w:t>
            </w:r>
          </w:p>
        </w:tc>
        <w:tc>
          <w:tcPr>
            <w:tcW w:w="851" w:type="dxa"/>
            <w:tcBorders>
              <w:top w:val="nil"/>
              <w:left w:val="nil"/>
              <w:bottom w:val="nil"/>
              <w:right w:val="nil"/>
            </w:tcBorders>
          </w:tcPr>
          <w:p w14:paraId="592EC964"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-0.68</w:t>
            </w:r>
          </w:p>
        </w:tc>
        <w:tc>
          <w:tcPr>
            <w:tcW w:w="1701" w:type="dxa"/>
            <w:tcBorders>
              <w:top w:val="nil"/>
              <w:left w:val="nil"/>
              <w:bottom w:val="nil"/>
              <w:right w:val="nil"/>
            </w:tcBorders>
          </w:tcPr>
          <w:p w14:paraId="72F0F191"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85.34</w:t>
            </w:r>
          </w:p>
        </w:tc>
      </w:tr>
      <w:tr w:rsidR="005C4AC0" w:rsidRPr="001D3F98" w14:paraId="0789A7DA" w14:textId="77777777" w:rsidTr="00EF23D8">
        <w:trPr>
          <w:trHeight w:val="120"/>
          <w:jc w:val="center"/>
        </w:trPr>
        <w:tc>
          <w:tcPr>
            <w:tcW w:w="1276" w:type="dxa"/>
            <w:tcBorders>
              <w:top w:val="nil"/>
              <w:left w:val="nil"/>
              <w:bottom w:val="nil"/>
              <w:right w:val="nil"/>
            </w:tcBorders>
          </w:tcPr>
          <w:p w14:paraId="0F120E06" w14:textId="77777777" w:rsidR="005C4AC0" w:rsidRDefault="005C4AC0"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A17</w:t>
            </w:r>
          </w:p>
        </w:tc>
        <w:tc>
          <w:tcPr>
            <w:tcW w:w="1276" w:type="dxa"/>
            <w:tcBorders>
              <w:top w:val="nil"/>
              <w:left w:val="nil"/>
              <w:bottom w:val="nil"/>
              <w:right w:val="nil"/>
            </w:tcBorders>
          </w:tcPr>
          <w:p w14:paraId="42B0A7F0" w14:textId="77777777" w:rsidR="005C4AC0" w:rsidRPr="001D3F98" w:rsidRDefault="0081461A" w:rsidP="0081461A">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4.62</w:t>
            </w:r>
          </w:p>
        </w:tc>
        <w:tc>
          <w:tcPr>
            <w:tcW w:w="1417" w:type="dxa"/>
            <w:tcBorders>
              <w:top w:val="nil"/>
              <w:left w:val="nil"/>
              <w:bottom w:val="nil"/>
              <w:right w:val="nil"/>
            </w:tcBorders>
          </w:tcPr>
          <w:p w14:paraId="0E277F07"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4.12</w:t>
            </w:r>
          </w:p>
        </w:tc>
        <w:tc>
          <w:tcPr>
            <w:tcW w:w="851" w:type="dxa"/>
            <w:tcBorders>
              <w:top w:val="nil"/>
              <w:left w:val="nil"/>
              <w:bottom w:val="nil"/>
              <w:right w:val="nil"/>
            </w:tcBorders>
          </w:tcPr>
          <w:p w14:paraId="1C40E50B"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-0.50</w:t>
            </w:r>
          </w:p>
        </w:tc>
        <w:tc>
          <w:tcPr>
            <w:tcW w:w="1701" w:type="dxa"/>
            <w:tcBorders>
              <w:top w:val="nil"/>
              <w:left w:val="nil"/>
              <w:bottom w:val="nil"/>
              <w:right w:val="nil"/>
            </w:tcBorders>
          </w:tcPr>
          <w:p w14:paraId="009FA500"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89.18</w:t>
            </w:r>
          </w:p>
        </w:tc>
      </w:tr>
      <w:tr w:rsidR="00EF23D8" w:rsidRPr="001D3F98" w14:paraId="43B9FA26" w14:textId="77777777" w:rsidTr="00EF23D8">
        <w:trPr>
          <w:trHeight w:val="120"/>
          <w:jc w:val="center"/>
        </w:trPr>
        <w:tc>
          <w:tcPr>
            <w:tcW w:w="1276" w:type="dxa"/>
            <w:tcBorders>
              <w:top w:val="nil"/>
              <w:left w:val="nil"/>
              <w:bottom w:val="nil"/>
              <w:right w:val="nil"/>
            </w:tcBorders>
          </w:tcPr>
          <w:p w14:paraId="46F9082C" w14:textId="77777777" w:rsidR="00EF23D8" w:rsidRDefault="00EF23D8"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A18</w:t>
            </w:r>
          </w:p>
        </w:tc>
        <w:tc>
          <w:tcPr>
            <w:tcW w:w="1276" w:type="dxa"/>
            <w:tcBorders>
              <w:top w:val="nil"/>
              <w:left w:val="nil"/>
              <w:bottom w:val="nil"/>
              <w:right w:val="nil"/>
            </w:tcBorders>
          </w:tcPr>
          <w:p w14:paraId="5ABB6B3E" w14:textId="77777777" w:rsidR="00EF23D8" w:rsidRPr="001D3F98" w:rsidRDefault="0081461A" w:rsidP="0081461A">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 xml:space="preserve">4.72        </w:t>
            </w:r>
          </w:p>
        </w:tc>
        <w:tc>
          <w:tcPr>
            <w:tcW w:w="1417" w:type="dxa"/>
            <w:tcBorders>
              <w:top w:val="nil"/>
              <w:left w:val="nil"/>
              <w:bottom w:val="nil"/>
              <w:right w:val="nil"/>
            </w:tcBorders>
          </w:tcPr>
          <w:p w14:paraId="630E1737" w14:textId="77777777" w:rsidR="00EF23D8"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4.06</w:t>
            </w:r>
          </w:p>
        </w:tc>
        <w:tc>
          <w:tcPr>
            <w:tcW w:w="851" w:type="dxa"/>
            <w:tcBorders>
              <w:top w:val="nil"/>
              <w:left w:val="nil"/>
              <w:bottom w:val="nil"/>
              <w:right w:val="nil"/>
            </w:tcBorders>
          </w:tcPr>
          <w:p w14:paraId="2E9D9630" w14:textId="77777777" w:rsidR="00EF23D8"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-0.66</w:t>
            </w:r>
          </w:p>
        </w:tc>
        <w:tc>
          <w:tcPr>
            <w:tcW w:w="1701" w:type="dxa"/>
            <w:tcBorders>
              <w:top w:val="nil"/>
              <w:left w:val="nil"/>
              <w:bottom w:val="nil"/>
              <w:right w:val="nil"/>
            </w:tcBorders>
          </w:tcPr>
          <w:p w14:paraId="6E9776EB" w14:textId="77777777" w:rsidR="00EF23D8"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86.02</w:t>
            </w:r>
          </w:p>
        </w:tc>
      </w:tr>
      <w:tr w:rsidR="005C4AC0" w:rsidRPr="001D3F98" w14:paraId="24A6DDB8" w14:textId="77777777" w:rsidTr="00EF23D8">
        <w:trPr>
          <w:trHeight w:val="120"/>
          <w:jc w:val="center"/>
        </w:trPr>
        <w:tc>
          <w:tcPr>
            <w:tcW w:w="1276" w:type="dxa"/>
            <w:tcBorders>
              <w:top w:val="nil"/>
              <w:left w:val="nil"/>
              <w:bottom w:val="nil"/>
              <w:right w:val="nil"/>
            </w:tcBorders>
          </w:tcPr>
          <w:p w14:paraId="50BE697B" w14:textId="77777777" w:rsidR="005C4AC0" w:rsidRDefault="00EF23D8" w:rsidP="00BA6E41">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A19</w:t>
            </w:r>
          </w:p>
        </w:tc>
        <w:tc>
          <w:tcPr>
            <w:tcW w:w="1276" w:type="dxa"/>
            <w:tcBorders>
              <w:top w:val="nil"/>
              <w:left w:val="nil"/>
              <w:bottom w:val="nil"/>
              <w:right w:val="nil"/>
            </w:tcBorders>
          </w:tcPr>
          <w:p w14:paraId="33E1802E" w14:textId="77777777" w:rsidR="005C4AC0" w:rsidRPr="001D3F98" w:rsidRDefault="0081461A" w:rsidP="0081461A">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 xml:space="preserve">4.68 </w:t>
            </w:r>
          </w:p>
        </w:tc>
        <w:tc>
          <w:tcPr>
            <w:tcW w:w="1417" w:type="dxa"/>
            <w:tcBorders>
              <w:top w:val="nil"/>
              <w:left w:val="nil"/>
              <w:bottom w:val="nil"/>
              <w:right w:val="nil"/>
            </w:tcBorders>
          </w:tcPr>
          <w:p w14:paraId="6CFF3F26"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3.96</w:t>
            </w:r>
          </w:p>
        </w:tc>
        <w:tc>
          <w:tcPr>
            <w:tcW w:w="851" w:type="dxa"/>
            <w:tcBorders>
              <w:top w:val="nil"/>
              <w:left w:val="nil"/>
              <w:bottom w:val="nil"/>
              <w:right w:val="nil"/>
            </w:tcBorders>
          </w:tcPr>
          <w:p w14:paraId="172677DD"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-0.72</w:t>
            </w:r>
          </w:p>
        </w:tc>
        <w:tc>
          <w:tcPr>
            <w:tcW w:w="1701" w:type="dxa"/>
            <w:tcBorders>
              <w:top w:val="nil"/>
              <w:left w:val="nil"/>
              <w:bottom w:val="nil"/>
              <w:right w:val="nil"/>
            </w:tcBorders>
          </w:tcPr>
          <w:p w14:paraId="39D111DB"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84.62</w:t>
            </w:r>
          </w:p>
        </w:tc>
      </w:tr>
      <w:tr w:rsidR="005C4AC0" w:rsidRPr="001D3F98" w14:paraId="27B614EB" w14:textId="77777777" w:rsidTr="00BA6E41">
        <w:trPr>
          <w:trHeight w:val="105"/>
          <w:jc w:val="center"/>
        </w:trPr>
        <w:tc>
          <w:tcPr>
            <w:tcW w:w="1276" w:type="dxa"/>
            <w:tcBorders>
              <w:top w:val="nil"/>
              <w:left w:val="nil"/>
              <w:bottom w:val="nil"/>
              <w:right w:val="nil"/>
            </w:tcBorders>
          </w:tcPr>
          <w:p w14:paraId="3094A98C" w14:textId="77777777" w:rsidR="005C4AC0" w:rsidRPr="001D3F98" w:rsidRDefault="00EF23D8"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0"/>
              </w:rPr>
              <w:t>A20</w:t>
            </w:r>
          </w:p>
        </w:tc>
        <w:tc>
          <w:tcPr>
            <w:tcW w:w="1276" w:type="dxa"/>
            <w:tcBorders>
              <w:top w:val="nil"/>
              <w:left w:val="nil"/>
              <w:bottom w:val="nil"/>
              <w:right w:val="nil"/>
            </w:tcBorders>
          </w:tcPr>
          <w:p w14:paraId="52392132" w14:textId="77777777" w:rsidR="005C4AC0" w:rsidRPr="001D3F98" w:rsidRDefault="0081461A" w:rsidP="0081461A">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4"/>
              </w:rPr>
              <w:t>4.66</w:t>
            </w:r>
          </w:p>
        </w:tc>
        <w:tc>
          <w:tcPr>
            <w:tcW w:w="1417" w:type="dxa"/>
            <w:tcBorders>
              <w:top w:val="nil"/>
              <w:left w:val="nil"/>
              <w:bottom w:val="nil"/>
              <w:right w:val="nil"/>
            </w:tcBorders>
          </w:tcPr>
          <w:p w14:paraId="74BB63FC" w14:textId="77777777" w:rsidR="005C4AC0" w:rsidRPr="001D3F98" w:rsidRDefault="0081461A"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4"/>
              </w:rPr>
              <w:t>4.04</w:t>
            </w:r>
          </w:p>
        </w:tc>
        <w:tc>
          <w:tcPr>
            <w:tcW w:w="851" w:type="dxa"/>
            <w:tcBorders>
              <w:top w:val="nil"/>
              <w:left w:val="nil"/>
              <w:bottom w:val="nil"/>
              <w:right w:val="nil"/>
            </w:tcBorders>
          </w:tcPr>
          <w:p w14:paraId="53F7BF2B" w14:textId="77777777" w:rsidR="005C4AC0" w:rsidRPr="001D3F98" w:rsidRDefault="0081461A" w:rsidP="00BA6E41">
            <w:pPr>
              <w:spacing w:after="0" w:line="240" w:lineRule="auto"/>
              <w:jc w:val="center"/>
              <w:rPr>
                <w:rFonts w:ascii="Palatino Linotype" w:eastAsia="Times New Roman" w:hAnsi="Palatino Linotype" w:cs="Times New Roman"/>
                <w:i/>
                <w:iCs/>
                <w:sz w:val="20"/>
                <w:szCs w:val="20"/>
              </w:rPr>
            </w:pPr>
            <w:r>
              <w:rPr>
                <w:rFonts w:ascii="Palatino Linotype" w:eastAsia="Times New Roman" w:hAnsi="Palatino Linotype" w:cs="Times New Roman"/>
                <w:sz w:val="20"/>
                <w:szCs w:val="24"/>
              </w:rPr>
              <w:t>-0.62</w:t>
            </w:r>
          </w:p>
        </w:tc>
        <w:tc>
          <w:tcPr>
            <w:tcW w:w="1701" w:type="dxa"/>
            <w:tcBorders>
              <w:top w:val="nil"/>
              <w:left w:val="nil"/>
              <w:bottom w:val="nil"/>
              <w:right w:val="nil"/>
            </w:tcBorders>
          </w:tcPr>
          <w:p w14:paraId="626DC1F1" w14:textId="77777777" w:rsidR="005C4AC0" w:rsidRPr="001D3F98" w:rsidRDefault="0081461A" w:rsidP="00BA6E41">
            <w:pPr>
              <w:spacing w:after="0" w:line="240" w:lineRule="auto"/>
              <w:jc w:val="center"/>
              <w:rPr>
                <w:rFonts w:ascii="Palatino Linotype" w:eastAsia="Times New Roman" w:hAnsi="Palatino Linotype" w:cs="Times New Roman"/>
                <w:sz w:val="20"/>
                <w:szCs w:val="20"/>
              </w:rPr>
            </w:pPr>
            <w:r w:rsidRPr="00EF23D8">
              <w:rPr>
                <w:rFonts w:ascii="Palatino Linotype" w:eastAsia="Times New Roman" w:hAnsi="Palatino Linotype" w:cs="Times New Roman"/>
                <w:sz w:val="20"/>
                <w:szCs w:val="24"/>
              </w:rPr>
              <w:t>86.70</w:t>
            </w:r>
          </w:p>
        </w:tc>
      </w:tr>
      <w:tr w:rsidR="00BA6E41" w:rsidRPr="001D3F98" w14:paraId="22B746D6" w14:textId="77777777" w:rsidTr="00EF23D8">
        <w:trPr>
          <w:trHeight w:val="105"/>
          <w:jc w:val="center"/>
        </w:trPr>
        <w:tc>
          <w:tcPr>
            <w:tcW w:w="1276" w:type="dxa"/>
            <w:tcBorders>
              <w:top w:val="nil"/>
              <w:left w:val="nil"/>
              <w:bottom w:val="single" w:sz="12" w:space="0" w:color="000000"/>
              <w:right w:val="nil"/>
            </w:tcBorders>
          </w:tcPr>
          <w:p w14:paraId="0F4D3119" w14:textId="77777777" w:rsidR="00BA6E41" w:rsidRPr="00BA6E41" w:rsidRDefault="00BA6E41" w:rsidP="00BA6E41">
            <w:pPr>
              <w:spacing w:after="0" w:line="240" w:lineRule="auto"/>
              <w:jc w:val="center"/>
              <w:rPr>
                <w:rFonts w:ascii="Palatino Linotype" w:eastAsia="Times New Roman" w:hAnsi="Palatino Linotype" w:cs="Times New Roman"/>
                <w:b/>
                <w:sz w:val="20"/>
                <w:szCs w:val="20"/>
              </w:rPr>
            </w:pPr>
            <w:r w:rsidRPr="00BA6E41">
              <w:rPr>
                <w:rFonts w:ascii="Palatino Linotype" w:eastAsia="Times New Roman" w:hAnsi="Palatino Linotype" w:cs="Times New Roman"/>
                <w:b/>
                <w:sz w:val="20"/>
                <w:szCs w:val="20"/>
              </w:rPr>
              <w:t>Overall</w:t>
            </w:r>
          </w:p>
        </w:tc>
        <w:tc>
          <w:tcPr>
            <w:tcW w:w="1276" w:type="dxa"/>
            <w:tcBorders>
              <w:top w:val="nil"/>
              <w:left w:val="nil"/>
              <w:bottom w:val="single" w:sz="12" w:space="0" w:color="000000"/>
              <w:right w:val="nil"/>
            </w:tcBorders>
          </w:tcPr>
          <w:p w14:paraId="1F6148A0" w14:textId="77777777" w:rsidR="00BA6E41" w:rsidRPr="00BA6E41" w:rsidRDefault="00BA6E41" w:rsidP="0081461A">
            <w:pPr>
              <w:spacing w:after="0" w:line="240" w:lineRule="auto"/>
              <w:jc w:val="center"/>
              <w:rPr>
                <w:rFonts w:ascii="Palatino Linotype" w:eastAsia="Times New Roman" w:hAnsi="Palatino Linotype" w:cs="Times New Roman"/>
                <w:b/>
                <w:sz w:val="20"/>
                <w:szCs w:val="24"/>
              </w:rPr>
            </w:pPr>
            <w:r w:rsidRPr="00BA6E41">
              <w:rPr>
                <w:rFonts w:ascii="Palatino Linotype" w:eastAsia="Times New Roman" w:hAnsi="Palatino Linotype" w:cs="Times New Roman"/>
                <w:b/>
                <w:sz w:val="20"/>
                <w:szCs w:val="24"/>
              </w:rPr>
              <w:t>4.694</w:t>
            </w:r>
          </w:p>
        </w:tc>
        <w:tc>
          <w:tcPr>
            <w:tcW w:w="1417" w:type="dxa"/>
            <w:tcBorders>
              <w:top w:val="nil"/>
              <w:left w:val="nil"/>
              <w:bottom w:val="single" w:sz="12" w:space="0" w:color="000000"/>
              <w:right w:val="nil"/>
            </w:tcBorders>
          </w:tcPr>
          <w:p w14:paraId="722BF2F8" w14:textId="77777777" w:rsidR="00BA6E41" w:rsidRPr="00BA6E41" w:rsidRDefault="00BA6E41" w:rsidP="00BA6E41">
            <w:pPr>
              <w:spacing w:after="0" w:line="240" w:lineRule="auto"/>
              <w:jc w:val="center"/>
              <w:rPr>
                <w:rFonts w:ascii="Palatino Linotype" w:eastAsia="Times New Roman" w:hAnsi="Palatino Linotype" w:cs="Times New Roman"/>
                <w:b/>
                <w:sz w:val="20"/>
                <w:szCs w:val="24"/>
              </w:rPr>
            </w:pPr>
            <w:r w:rsidRPr="00BA6E41">
              <w:rPr>
                <w:rFonts w:ascii="Palatino Linotype" w:eastAsia="Times New Roman" w:hAnsi="Palatino Linotype" w:cs="Times New Roman"/>
                <w:b/>
                <w:sz w:val="20"/>
                <w:szCs w:val="24"/>
              </w:rPr>
              <w:t>4.049</w:t>
            </w:r>
          </w:p>
        </w:tc>
        <w:tc>
          <w:tcPr>
            <w:tcW w:w="851" w:type="dxa"/>
            <w:tcBorders>
              <w:top w:val="nil"/>
              <w:left w:val="nil"/>
              <w:bottom w:val="single" w:sz="12" w:space="0" w:color="000000"/>
              <w:right w:val="nil"/>
            </w:tcBorders>
          </w:tcPr>
          <w:p w14:paraId="1B1513ED" w14:textId="77777777" w:rsidR="00BA6E41" w:rsidRPr="00BA6E41" w:rsidRDefault="00BA6E41" w:rsidP="00BA6E41">
            <w:pPr>
              <w:spacing w:after="0" w:line="240" w:lineRule="auto"/>
              <w:jc w:val="center"/>
              <w:rPr>
                <w:rFonts w:ascii="Palatino Linotype" w:eastAsia="Times New Roman" w:hAnsi="Palatino Linotype" w:cs="Times New Roman"/>
                <w:b/>
                <w:sz w:val="20"/>
                <w:szCs w:val="24"/>
              </w:rPr>
            </w:pPr>
            <w:r w:rsidRPr="00BA6E41">
              <w:rPr>
                <w:rFonts w:ascii="Palatino Linotype" w:eastAsia="Times New Roman" w:hAnsi="Palatino Linotype" w:cs="Times New Roman"/>
                <w:b/>
                <w:sz w:val="20"/>
                <w:szCs w:val="24"/>
              </w:rPr>
              <w:t>-0.645</w:t>
            </w:r>
          </w:p>
        </w:tc>
        <w:tc>
          <w:tcPr>
            <w:tcW w:w="1701" w:type="dxa"/>
            <w:tcBorders>
              <w:top w:val="nil"/>
              <w:left w:val="nil"/>
              <w:bottom w:val="single" w:sz="12" w:space="0" w:color="000000"/>
              <w:right w:val="nil"/>
            </w:tcBorders>
          </w:tcPr>
          <w:p w14:paraId="12AA1A15" w14:textId="77777777" w:rsidR="00BA6E41" w:rsidRPr="00BA6E41" w:rsidRDefault="00BA6E41" w:rsidP="00BA6E41">
            <w:pPr>
              <w:spacing w:after="0" w:line="240" w:lineRule="auto"/>
              <w:jc w:val="center"/>
              <w:rPr>
                <w:rFonts w:ascii="Palatino Linotype" w:eastAsia="Times New Roman" w:hAnsi="Palatino Linotype" w:cs="Times New Roman"/>
                <w:b/>
                <w:sz w:val="20"/>
                <w:szCs w:val="24"/>
              </w:rPr>
            </w:pPr>
            <w:r w:rsidRPr="00BA6E41">
              <w:rPr>
                <w:rFonts w:ascii="Palatino Linotype" w:eastAsia="Times New Roman" w:hAnsi="Palatino Linotype" w:cs="Times New Roman"/>
                <w:b/>
                <w:sz w:val="20"/>
                <w:szCs w:val="24"/>
              </w:rPr>
              <w:t>86.26</w:t>
            </w:r>
          </w:p>
        </w:tc>
      </w:tr>
    </w:tbl>
    <w:p w14:paraId="6C2543DA" w14:textId="77777777" w:rsidR="00B90E7E" w:rsidRPr="00B90E7E" w:rsidRDefault="00B90E7E" w:rsidP="008A174C">
      <w:pPr>
        <w:tabs>
          <w:tab w:val="left" w:pos="450"/>
        </w:tabs>
        <w:spacing w:before="120" w:after="0"/>
        <w:jc w:val="both"/>
        <w:rPr>
          <w:rFonts w:ascii="Palatino Linotype" w:eastAsia="Times New Roman" w:hAnsi="Palatino Linotype" w:cs="Times New Roman"/>
          <w:sz w:val="24"/>
          <w:szCs w:val="24"/>
        </w:rPr>
      </w:pPr>
      <w:r w:rsidRPr="00B90E7E">
        <w:rPr>
          <w:rFonts w:ascii="Palatino Linotype" w:eastAsia="Times New Roman" w:hAnsi="Palatino Linotype" w:cs="Times New Roman"/>
          <w:sz w:val="24"/>
          <w:szCs w:val="24"/>
        </w:rPr>
        <w:t>As shown in Table 2, all 20 service attributes produced negative SERVQUAL gaps. This indicates that the perceived performance of every evaluated attribute remained below the corresponding level of respondent expectations.</w:t>
      </w:r>
    </w:p>
    <w:p w14:paraId="6CA8E04E" w14:textId="77777777" w:rsidR="00B90E7E" w:rsidRPr="005B4D2A" w:rsidRDefault="005B4D2A" w:rsidP="008A174C">
      <w:pPr>
        <w:tabs>
          <w:tab w:val="left" w:pos="450"/>
        </w:tabs>
        <w:spacing w:after="0"/>
        <w:jc w:val="both"/>
        <w:rPr>
          <w:rFonts w:ascii="Palatino Linotype" w:eastAsia="Times New Roman" w:hAnsi="Palatino Linotype" w:cs="Times New Roman"/>
          <w:sz w:val="28"/>
          <w:szCs w:val="24"/>
        </w:rPr>
      </w:pPr>
      <w:r>
        <w:rPr>
          <w:rFonts w:ascii="Palatino Linotype" w:hAnsi="Palatino Linotype"/>
          <w:sz w:val="24"/>
        </w:rPr>
        <w:tab/>
      </w:r>
      <w:r w:rsidR="00B90E7E" w:rsidRPr="005B4D2A">
        <w:rPr>
          <w:rFonts w:ascii="Palatino Linotype" w:hAnsi="Palatino Linotype"/>
          <w:sz w:val="24"/>
        </w:rPr>
        <w:t>The largest negative gap was identified for A15 (assessment and certification process clarity and confidence) at -0.84, followed by A3 (cleanliness, comfort, and learning support of classrooms and practical areas) at -0.78. A9 (prompt instructor assistance during practical difficulties), A12 (prompt communication of schedule, procedural, or activity information), and A19 (opportunities to ask questions and obtain clarification) each recorded a gap of -0.72. These results indicate that the largest discrepancies occurred in both physical learning conditions and communication, assistance, and assessment-related services experienced by participants during the training and certification program.</w:t>
      </w:r>
    </w:p>
    <w:p w14:paraId="25B1EF92" w14:textId="77777777" w:rsidR="00B90E7E" w:rsidRPr="005B4D2A" w:rsidRDefault="00B90E7E" w:rsidP="00EE269A">
      <w:pPr>
        <w:spacing w:after="0"/>
        <w:ind w:firstLine="426"/>
        <w:jc w:val="both"/>
        <w:rPr>
          <w:rFonts w:ascii="Palatino Linotype" w:eastAsia="Times New Roman" w:hAnsi="Palatino Linotype" w:cs="Times New Roman"/>
          <w:sz w:val="28"/>
          <w:szCs w:val="24"/>
        </w:rPr>
      </w:pPr>
      <w:r w:rsidRPr="005B4D2A">
        <w:rPr>
          <w:rFonts w:ascii="Palatino Linotype" w:hAnsi="Palatino Linotype"/>
          <w:sz w:val="24"/>
        </w:rPr>
        <w:lastRenderedPageBreak/>
        <w:t>A15, referring to the clarity of the assessment and certification process and the confidence it provides to participants, also produced the lowest service conformity level at 81.97%. This means that perceived performance reached only approximately 82% of the expected level. A3 (clean and comfortable classrooms and practical areas) showed a conformity level of 83.68%, while A9 (prompt instructor assistance), A12 (prompt communication of information), and A19 (opportunities for clarification) were approximately 84.6–84.7%.</w:t>
      </w:r>
    </w:p>
    <w:p w14:paraId="364088C9" w14:textId="77777777" w:rsidR="00B90E7E" w:rsidRPr="00B90E7E" w:rsidRDefault="00B90E7E" w:rsidP="00EE269A">
      <w:pPr>
        <w:spacing w:after="0"/>
        <w:ind w:firstLine="426"/>
        <w:jc w:val="both"/>
        <w:rPr>
          <w:rFonts w:ascii="Palatino Linotype" w:eastAsia="Times New Roman" w:hAnsi="Palatino Linotype" w:cs="Times New Roman"/>
          <w:sz w:val="24"/>
          <w:szCs w:val="24"/>
        </w:rPr>
      </w:pPr>
      <w:r w:rsidRPr="00B90E7E">
        <w:rPr>
          <w:rFonts w:ascii="Palatino Linotype" w:eastAsia="Times New Roman" w:hAnsi="Palatino Linotype" w:cs="Times New Roman"/>
          <w:sz w:val="24"/>
          <w:szCs w:val="24"/>
        </w:rPr>
        <w:t>In contrast, A10 and A17 recorded the smallest negative gap, both at -0.50, indicating that the perceived performance of these attributes was relatively closer to respondents' expectations. Nevertheless, because the gap remained negative, further improvement may still be required to fully meet respondent expectations.</w:t>
      </w:r>
    </w:p>
    <w:p w14:paraId="64CC4B34" w14:textId="77777777" w:rsidR="00B90E7E" w:rsidRDefault="00B90E7E" w:rsidP="00EE269A">
      <w:pPr>
        <w:spacing w:after="0"/>
        <w:ind w:firstLine="426"/>
        <w:jc w:val="both"/>
        <w:rPr>
          <w:rFonts w:ascii="Palatino Linotype" w:eastAsia="Times New Roman" w:hAnsi="Palatino Linotype" w:cs="Times New Roman"/>
          <w:sz w:val="24"/>
          <w:szCs w:val="24"/>
        </w:rPr>
      </w:pPr>
      <w:r w:rsidRPr="00B90E7E">
        <w:rPr>
          <w:rFonts w:ascii="Palatino Linotype" w:eastAsia="Times New Roman" w:hAnsi="Palatino Linotype" w:cs="Times New Roman"/>
          <w:sz w:val="24"/>
          <w:szCs w:val="24"/>
        </w:rPr>
        <w:t>The negative gap across all attributes suggests that service quality improvement should be considered across the entire training and certification service system rather than being limited to a single aspect. This finding is particularly relevant for competency-based training, where participants' experiences are influenced not only by the quality of instructional delivery but also by facilities, administrative support, communication, responsiveness, and other supporting services.</w:t>
      </w:r>
    </w:p>
    <w:p w14:paraId="0C6DEEF9" w14:textId="77777777" w:rsidR="00B90E7E" w:rsidRPr="00260B4F" w:rsidRDefault="00B90E7E" w:rsidP="00B90E7E">
      <w:pPr>
        <w:pStyle w:val="ListParagraph"/>
        <w:numPr>
          <w:ilvl w:val="1"/>
          <w:numId w:val="4"/>
        </w:numPr>
        <w:tabs>
          <w:tab w:val="left" w:pos="450"/>
        </w:tabs>
        <w:spacing w:before="120" w:after="0"/>
        <w:ind w:left="426" w:hanging="426"/>
        <w:jc w:val="both"/>
        <w:rPr>
          <w:rFonts w:ascii="Palatino Linotype" w:eastAsia="Times New Roman" w:hAnsi="Palatino Linotype" w:cs="Times New Roman"/>
          <w:bCs/>
          <w:sz w:val="24"/>
          <w:szCs w:val="24"/>
        </w:rPr>
      </w:pPr>
      <w:r w:rsidRPr="00260B4F">
        <w:rPr>
          <w:rFonts w:ascii="Palatino Linotype" w:eastAsia="Times New Roman" w:hAnsi="Palatino Linotype" w:cs="Times New Roman"/>
          <w:bCs/>
          <w:sz w:val="24"/>
          <w:szCs w:val="24"/>
        </w:rPr>
        <w:t>Service Quality by SERVQUAL Dimension</w:t>
      </w:r>
    </w:p>
    <w:p w14:paraId="70757B34" w14:textId="77777777" w:rsidR="005C4AC0" w:rsidRDefault="00B90E7E"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B90E7E">
        <w:rPr>
          <w:rFonts w:ascii="Palatino Linotype" w:eastAsia="Times New Roman" w:hAnsi="Palatino Linotype" w:cs="Times New Roman"/>
          <w:sz w:val="24"/>
          <w:szCs w:val="24"/>
        </w:rPr>
        <w:t>To obtain a broader understanding of service performance, the 20 attributes were grouped into the five SERVQUAL dimensions. The results are presented in Table 3.</w:t>
      </w:r>
    </w:p>
    <w:p w14:paraId="6604754C" w14:textId="77777777" w:rsidR="00B90E7E" w:rsidRPr="001D3F98" w:rsidRDefault="00B90E7E" w:rsidP="00E74C18">
      <w:pPr>
        <w:tabs>
          <w:tab w:val="left" w:pos="450"/>
        </w:tabs>
        <w:spacing w:after="0"/>
        <w:jc w:val="center"/>
        <w:rPr>
          <w:rFonts w:ascii="Palatino Linotype" w:eastAsia="Times New Roman" w:hAnsi="Palatino Linotype" w:cs="Times New Roman"/>
          <w:sz w:val="24"/>
          <w:szCs w:val="24"/>
          <w:lang w:val="en-GB"/>
        </w:rPr>
      </w:pPr>
      <w:r w:rsidRPr="001D3F98">
        <w:rPr>
          <w:rFonts w:ascii="Palatino Linotype" w:eastAsia="Times New Roman" w:hAnsi="Palatino Linotype" w:cs="Times New Roman"/>
          <w:b/>
          <w:bCs/>
          <w:sz w:val="24"/>
          <w:szCs w:val="24"/>
        </w:rPr>
        <w:t xml:space="preserve">Table </w:t>
      </w:r>
      <w:r>
        <w:rPr>
          <w:rFonts w:ascii="Palatino Linotype" w:eastAsia="Times New Roman" w:hAnsi="Palatino Linotype" w:cs="Times New Roman"/>
          <w:b/>
          <w:bCs/>
          <w:sz w:val="24"/>
          <w:szCs w:val="24"/>
        </w:rPr>
        <w:t>3</w:t>
      </w:r>
      <w:r w:rsidRPr="001D3F98">
        <w:rPr>
          <w:rFonts w:ascii="Palatino Linotype" w:eastAsia="Times New Roman" w:hAnsi="Palatino Linotype" w:cs="Times New Roman"/>
          <w:b/>
          <w:bCs/>
          <w:sz w:val="24"/>
          <w:szCs w:val="24"/>
        </w:rPr>
        <w:t>.</w:t>
      </w:r>
      <w:r w:rsidRPr="001D3F98">
        <w:rPr>
          <w:rFonts w:ascii="Palatino Linotype" w:eastAsia="Times New Roman" w:hAnsi="Palatino Linotype" w:cs="Times New Roman"/>
          <w:sz w:val="24"/>
          <w:szCs w:val="24"/>
        </w:rPr>
        <w:t xml:space="preserve"> </w:t>
      </w:r>
      <w:r w:rsidRPr="00B90E7E">
        <w:rPr>
          <w:rFonts w:ascii="Palatino Linotype" w:eastAsia="Times New Roman" w:hAnsi="Palatino Linotype" w:cs="Times New Roman"/>
          <w:sz w:val="24"/>
          <w:szCs w:val="24"/>
        </w:rPr>
        <w:t>SERVQUAL Results by Dimension</w:t>
      </w:r>
    </w:p>
    <w:tbl>
      <w:tblPr>
        <w:tblStyle w:val="TableGrid"/>
        <w:tblW w:w="7536" w:type="dxa"/>
        <w:jc w:val="center"/>
        <w:tblLayout w:type="fixed"/>
        <w:tblLook w:val="0000" w:firstRow="0" w:lastRow="0" w:firstColumn="0" w:lastColumn="0" w:noHBand="0" w:noVBand="0"/>
      </w:tblPr>
      <w:tblGrid>
        <w:gridCol w:w="2268"/>
        <w:gridCol w:w="1798"/>
        <w:gridCol w:w="1735"/>
        <w:gridCol w:w="1735"/>
      </w:tblGrid>
      <w:tr w:rsidR="00B90E7E" w:rsidRPr="001D3F98" w14:paraId="1A8ABA95" w14:textId="77777777" w:rsidTr="0001740A">
        <w:trPr>
          <w:trHeight w:val="270"/>
          <w:jc w:val="center"/>
        </w:trPr>
        <w:tc>
          <w:tcPr>
            <w:tcW w:w="2268" w:type="dxa"/>
            <w:tcBorders>
              <w:top w:val="single" w:sz="12" w:space="0" w:color="000000"/>
              <w:left w:val="nil"/>
              <w:bottom w:val="single" w:sz="12" w:space="0" w:color="000000"/>
              <w:right w:val="nil"/>
            </w:tcBorders>
          </w:tcPr>
          <w:p w14:paraId="5414C4BE" w14:textId="77777777" w:rsidR="00B90E7E" w:rsidRPr="001D3F98" w:rsidRDefault="00B90E7E" w:rsidP="00CD5F09">
            <w:pPr>
              <w:spacing w:after="0" w:line="240" w:lineRule="auto"/>
              <w:jc w:val="center"/>
              <w:rPr>
                <w:rFonts w:ascii="Palatino Linotype" w:eastAsia="Times New Roman" w:hAnsi="Palatino Linotype" w:cs="Times New Roman"/>
                <w:i/>
                <w:iCs/>
                <w:sz w:val="20"/>
                <w:szCs w:val="20"/>
              </w:rPr>
            </w:pPr>
            <w:r>
              <w:t>SERVQUAL Dimension</w:t>
            </w:r>
          </w:p>
        </w:tc>
        <w:tc>
          <w:tcPr>
            <w:tcW w:w="1798" w:type="dxa"/>
            <w:tcBorders>
              <w:top w:val="single" w:sz="12" w:space="0" w:color="000000"/>
              <w:left w:val="nil"/>
              <w:bottom w:val="single" w:sz="12" w:space="0" w:color="000000"/>
              <w:right w:val="nil"/>
            </w:tcBorders>
          </w:tcPr>
          <w:p w14:paraId="3BCC8896" w14:textId="77777777" w:rsidR="00B90E7E" w:rsidRPr="001D3F98" w:rsidRDefault="00B90E7E" w:rsidP="00CD5F09">
            <w:pPr>
              <w:spacing w:after="0" w:line="240" w:lineRule="auto"/>
              <w:jc w:val="center"/>
              <w:rPr>
                <w:rFonts w:ascii="Palatino Linotype" w:eastAsia="Times New Roman" w:hAnsi="Palatino Linotype" w:cs="Times New Roman"/>
                <w:i/>
                <w:iCs/>
                <w:sz w:val="20"/>
                <w:szCs w:val="20"/>
              </w:rPr>
            </w:pPr>
            <w:r w:rsidRPr="00B90E7E">
              <w:rPr>
                <w:rFonts w:ascii="Palatino Linotype" w:eastAsia="Times New Roman" w:hAnsi="Palatino Linotype" w:cs="Times New Roman"/>
                <w:sz w:val="20"/>
                <w:szCs w:val="20"/>
              </w:rPr>
              <w:t>Expectation</w:t>
            </w:r>
          </w:p>
        </w:tc>
        <w:tc>
          <w:tcPr>
            <w:tcW w:w="1735" w:type="dxa"/>
            <w:tcBorders>
              <w:top w:val="single" w:sz="12" w:space="0" w:color="000000"/>
              <w:left w:val="nil"/>
              <w:bottom w:val="single" w:sz="12" w:space="0" w:color="000000"/>
              <w:right w:val="nil"/>
            </w:tcBorders>
          </w:tcPr>
          <w:p w14:paraId="30A0BAFC" w14:textId="77777777" w:rsidR="00B90E7E" w:rsidRPr="001D3F98" w:rsidRDefault="00B90E7E" w:rsidP="00CD5F09">
            <w:pPr>
              <w:spacing w:after="0" w:line="240" w:lineRule="auto"/>
              <w:jc w:val="center"/>
              <w:rPr>
                <w:rFonts w:ascii="Palatino Linotype" w:eastAsia="Times New Roman" w:hAnsi="Palatino Linotype" w:cs="Times New Roman"/>
                <w:sz w:val="20"/>
                <w:szCs w:val="20"/>
              </w:rPr>
            </w:pPr>
            <w:r w:rsidRPr="00B90E7E">
              <w:rPr>
                <w:rFonts w:ascii="Palatino Linotype" w:eastAsia="Times New Roman" w:hAnsi="Palatino Linotype" w:cs="Times New Roman"/>
                <w:sz w:val="20"/>
                <w:szCs w:val="20"/>
              </w:rPr>
              <w:t>Performance</w:t>
            </w:r>
          </w:p>
        </w:tc>
        <w:tc>
          <w:tcPr>
            <w:tcW w:w="1735" w:type="dxa"/>
            <w:tcBorders>
              <w:top w:val="single" w:sz="12" w:space="0" w:color="000000"/>
              <w:left w:val="nil"/>
              <w:bottom w:val="single" w:sz="12" w:space="0" w:color="000000"/>
              <w:right w:val="nil"/>
            </w:tcBorders>
          </w:tcPr>
          <w:p w14:paraId="21321CE1" w14:textId="77777777" w:rsidR="00B90E7E" w:rsidRPr="001D3F98" w:rsidRDefault="00B90E7E" w:rsidP="00CD5F09">
            <w:pPr>
              <w:spacing w:after="0" w:line="240" w:lineRule="auto"/>
              <w:jc w:val="center"/>
              <w:rPr>
                <w:rFonts w:ascii="Palatino Linotype" w:eastAsia="Times New Roman" w:hAnsi="Palatino Linotype" w:cs="Times New Roman"/>
                <w:i/>
                <w:iCs/>
                <w:sz w:val="20"/>
                <w:szCs w:val="20"/>
              </w:rPr>
            </w:pPr>
            <w:r w:rsidRPr="00B90E7E">
              <w:rPr>
                <w:rFonts w:ascii="Palatino Linotype" w:eastAsia="Times New Roman" w:hAnsi="Palatino Linotype" w:cs="Times New Roman"/>
                <w:sz w:val="20"/>
                <w:szCs w:val="20"/>
              </w:rPr>
              <w:t>Gap</w:t>
            </w:r>
          </w:p>
        </w:tc>
      </w:tr>
      <w:tr w:rsidR="00B90E7E" w:rsidRPr="001D3F98" w14:paraId="71A3B2D6" w14:textId="77777777" w:rsidTr="0001740A">
        <w:trPr>
          <w:trHeight w:val="105"/>
          <w:jc w:val="center"/>
        </w:trPr>
        <w:tc>
          <w:tcPr>
            <w:tcW w:w="2268" w:type="dxa"/>
            <w:tcBorders>
              <w:top w:val="single" w:sz="12" w:space="0" w:color="000000"/>
              <w:left w:val="nil"/>
              <w:bottom w:val="nil"/>
              <w:right w:val="nil"/>
            </w:tcBorders>
          </w:tcPr>
          <w:p w14:paraId="5724AD9C" w14:textId="77777777" w:rsidR="00B90E7E" w:rsidRPr="00E20E5B"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Tangibles</w:t>
            </w:r>
          </w:p>
        </w:tc>
        <w:tc>
          <w:tcPr>
            <w:tcW w:w="1798" w:type="dxa"/>
            <w:tcBorders>
              <w:top w:val="single" w:sz="12" w:space="0" w:color="000000"/>
              <w:left w:val="nil"/>
              <w:bottom w:val="nil"/>
              <w:right w:val="nil"/>
            </w:tcBorders>
          </w:tcPr>
          <w:p w14:paraId="35251E74" w14:textId="77777777" w:rsidR="00B90E7E" w:rsidRPr="00E20E5B"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4.715</w:t>
            </w:r>
          </w:p>
        </w:tc>
        <w:tc>
          <w:tcPr>
            <w:tcW w:w="1735" w:type="dxa"/>
            <w:tcBorders>
              <w:top w:val="single" w:sz="12" w:space="0" w:color="000000"/>
              <w:left w:val="nil"/>
              <w:bottom w:val="nil"/>
              <w:right w:val="nil"/>
            </w:tcBorders>
          </w:tcPr>
          <w:p w14:paraId="6C0E0761" w14:textId="77777777" w:rsidR="00B90E7E" w:rsidRPr="001D3F98" w:rsidRDefault="00B90E7E" w:rsidP="00CD5F09">
            <w:pPr>
              <w:spacing w:after="0" w:line="240" w:lineRule="auto"/>
              <w:jc w:val="center"/>
              <w:rPr>
                <w:rFonts w:ascii="Palatino Linotype" w:eastAsia="Times New Roman" w:hAnsi="Palatino Linotype" w:cs="Times New Roman"/>
                <w:sz w:val="20"/>
                <w:szCs w:val="20"/>
              </w:rPr>
            </w:pPr>
            <w:r w:rsidRPr="00B90E7E">
              <w:rPr>
                <w:rFonts w:ascii="Palatino Linotype" w:eastAsia="Times New Roman" w:hAnsi="Palatino Linotype" w:cs="Times New Roman"/>
                <w:sz w:val="20"/>
                <w:szCs w:val="20"/>
              </w:rPr>
              <w:t>4.045</w:t>
            </w:r>
          </w:p>
        </w:tc>
        <w:tc>
          <w:tcPr>
            <w:tcW w:w="1735" w:type="dxa"/>
            <w:tcBorders>
              <w:top w:val="single" w:sz="12" w:space="0" w:color="000000"/>
              <w:left w:val="nil"/>
              <w:bottom w:val="nil"/>
              <w:right w:val="nil"/>
            </w:tcBorders>
          </w:tcPr>
          <w:p w14:paraId="713DF9C3" w14:textId="77777777" w:rsidR="00B90E7E" w:rsidRPr="001D3F98" w:rsidRDefault="00B90E7E" w:rsidP="00CD5F09">
            <w:pPr>
              <w:spacing w:after="0" w:line="240" w:lineRule="auto"/>
              <w:jc w:val="center"/>
              <w:rPr>
                <w:rFonts w:ascii="Palatino Linotype" w:eastAsia="Times New Roman" w:hAnsi="Palatino Linotype" w:cs="Times New Roman"/>
                <w:i/>
                <w:iCs/>
                <w:sz w:val="20"/>
                <w:szCs w:val="20"/>
              </w:rPr>
            </w:pPr>
            <w:r w:rsidRPr="00B90E7E">
              <w:rPr>
                <w:rFonts w:ascii="Palatino Linotype" w:eastAsia="Times New Roman" w:hAnsi="Palatino Linotype" w:cs="Times New Roman"/>
                <w:sz w:val="20"/>
                <w:szCs w:val="20"/>
              </w:rPr>
              <w:t>-0.670</w:t>
            </w:r>
          </w:p>
        </w:tc>
      </w:tr>
      <w:tr w:rsidR="00B90E7E" w:rsidRPr="001D3F98" w14:paraId="7FAC0AC5" w14:textId="77777777" w:rsidTr="0001740A">
        <w:trPr>
          <w:trHeight w:val="105"/>
          <w:jc w:val="center"/>
        </w:trPr>
        <w:tc>
          <w:tcPr>
            <w:tcW w:w="2268" w:type="dxa"/>
            <w:tcBorders>
              <w:top w:val="nil"/>
              <w:left w:val="nil"/>
              <w:bottom w:val="nil"/>
              <w:right w:val="nil"/>
            </w:tcBorders>
          </w:tcPr>
          <w:p w14:paraId="3010A578" w14:textId="77777777" w:rsidR="00B90E7E" w:rsidRPr="00E20E5B"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Reliability</w:t>
            </w:r>
          </w:p>
        </w:tc>
        <w:tc>
          <w:tcPr>
            <w:tcW w:w="1798" w:type="dxa"/>
            <w:tcBorders>
              <w:top w:val="nil"/>
              <w:left w:val="nil"/>
              <w:bottom w:val="nil"/>
              <w:right w:val="nil"/>
            </w:tcBorders>
          </w:tcPr>
          <w:p w14:paraId="09A8AB76" w14:textId="77777777" w:rsidR="00B90E7E" w:rsidRPr="00E20E5B"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4.715</w:t>
            </w:r>
          </w:p>
        </w:tc>
        <w:tc>
          <w:tcPr>
            <w:tcW w:w="1735" w:type="dxa"/>
            <w:tcBorders>
              <w:top w:val="nil"/>
              <w:left w:val="nil"/>
              <w:bottom w:val="nil"/>
              <w:right w:val="nil"/>
            </w:tcBorders>
          </w:tcPr>
          <w:p w14:paraId="26C6908E" w14:textId="77777777" w:rsidR="00B90E7E" w:rsidRPr="001D3F98"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4.080</w:t>
            </w:r>
          </w:p>
        </w:tc>
        <w:tc>
          <w:tcPr>
            <w:tcW w:w="1735" w:type="dxa"/>
            <w:tcBorders>
              <w:top w:val="nil"/>
              <w:left w:val="nil"/>
              <w:bottom w:val="nil"/>
              <w:right w:val="nil"/>
            </w:tcBorders>
          </w:tcPr>
          <w:p w14:paraId="2AA46464" w14:textId="77777777" w:rsidR="00B90E7E" w:rsidRPr="001D3F98" w:rsidRDefault="00E20E5B" w:rsidP="00CD5F09">
            <w:pPr>
              <w:spacing w:after="0" w:line="240" w:lineRule="auto"/>
              <w:jc w:val="center"/>
              <w:rPr>
                <w:rFonts w:ascii="Palatino Linotype" w:eastAsia="Times New Roman" w:hAnsi="Palatino Linotype" w:cs="Times New Roman"/>
                <w:i/>
                <w:iCs/>
                <w:sz w:val="20"/>
                <w:szCs w:val="20"/>
              </w:rPr>
            </w:pPr>
            <w:r w:rsidRPr="00B90E7E">
              <w:rPr>
                <w:rFonts w:ascii="Palatino Linotype" w:eastAsia="Times New Roman" w:hAnsi="Palatino Linotype" w:cs="Times New Roman"/>
                <w:sz w:val="20"/>
                <w:szCs w:val="20"/>
              </w:rPr>
              <w:t>-0.635</w:t>
            </w:r>
          </w:p>
        </w:tc>
      </w:tr>
      <w:tr w:rsidR="00B90E7E" w:rsidRPr="001D3F98" w14:paraId="16E320F6" w14:textId="77777777" w:rsidTr="0001740A">
        <w:trPr>
          <w:trHeight w:val="105"/>
          <w:jc w:val="center"/>
        </w:trPr>
        <w:tc>
          <w:tcPr>
            <w:tcW w:w="2268" w:type="dxa"/>
            <w:tcBorders>
              <w:top w:val="nil"/>
              <w:left w:val="nil"/>
              <w:bottom w:val="nil"/>
              <w:right w:val="nil"/>
            </w:tcBorders>
          </w:tcPr>
          <w:p w14:paraId="06261B7C" w14:textId="77777777" w:rsidR="00B90E7E" w:rsidRPr="00E20E5B"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Responsiveness</w:t>
            </w:r>
          </w:p>
        </w:tc>
        <w:tc>
          <w:tcPr>
            <w:tcW w:w="1798" w:type="dxa"/>
            <w:tcBorders>
              <w:top w:val="nil"/>
              <w:left w:val="nil"/>
              <w:bottom w:val="nil"/>
              <w:right w:val="nil"/>
            </w:tcBorders>
          </w:tcPr>
          <w:p w14:paraId="7EF91785" w14:textId="77777777" w:rsidR="00B90E7E" w:rsidRPr="00E20E5B"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4.675</w:t>
            </w:r>
          </w:p>
        </w:tc>
        <w:tc>
          <w:tcPr>
            <w:tcW w:w="1735" w:type="dxa"/>
            <w:tcBorders>
              <w:top w:val="nil"/>
              <w:left w:val="nil"/>
              <w:bottom w:val="nil"/>
              <w:right w:val="nil"/>
            </w:tcBorders>
          </w:tcPr>
          <w:p w14:paraId="3508415A" w14:textId="77777777" w:rsidR="00B90E7E" w:rsidRPr="001D3F98"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4.040</w:t>
            </w:r>
          </w:p>
        </w:tc>
        <w:tc>
          <w:tcPr>
            <w:tcW w:w="1735" w:type="dxa"/>
            <w:tcBorders>
              <w:top w:val="nil"/>
              <w:left w:val="nil"/>
              <w:bottom w:val="nil"/>
              <w:right w:val="nil"/>
            </w:tcBorders>
          </w:tcPr>
          <w:p w14:paraId="18BFF33D" w14:textId="77777777" w:rsidR="00B90E7E" w:rsidRPr="001D3F98" w:rsidRDefault="00E20E5B" w:rsidP="00CD5F09">
            <w:pPr>
              <w:spacing w:after="0" w:line="240" w:lineRule="auto"/>
              <w:jc w:val="center"/>
              <w:rPr>
                <w:rFonts w:ascii="Palatino Linotype" w:eastAsia="Times New Roman" w:hAnsi="Palatino Linotype" w:cs="Times New Roman"/>
                <w:i/>
                <w:iCs/>
                <w:sz w:val="20"/>
                <w:szCs w:val="20"/>
              </w:rPr>
            </w:pPr>
            <w:r w:rsidRPr="00B90E7E">
              <w:rPr>
                <w:rFonts w:ascii="Palatino Linotype" w:eastAsia="Times New Roman" w:hAnsi="Palatino Linotype" w:cs="Times New Roman"/>
                <w:sz w:val="20"/>
                <w:szCs w:val="20"/>
              </w:rPr>
              <w:t>-0.635</w:t>
            </w:r>
          </w:p>
        </w:tc>
      </w:tr>
      <w:tr w:rsidR="00B90E7E" w:rsidRPr="001D3F98" w14:paraId="524B2002" w14:textId="77777777" w:rsidTr="0001740A">
        <w:trPr>
          <w:trHeight w:val="120"/>
          <w:jc w:val="center"/>
        </w:trPr>
        <w:tc>
          <w:tcPr>
            <w:tcW w:w="2268" w:type="dxa"/>
            <w:tcBorders>
              <w:top w:val="nil"/>
              <w:left w:val="nil"/>
              <w:bottom w:val="nil"/>
              <w:right w:val="nil"/>
            </w:tcBorders>
          </w:tcPr>
          <w:p w14:paraId="227440E1" w14:textId="77777777" w:rsidR="00B90E7E" w:rsidRPr="00E20E5B"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Assurance</w:t>
            </w:r>
          </w:p>
        </w:tc>
        <w:tc>
          <w:tcPr>
            <w:tcW w:w="1798" w:type="dxa"/>
            <w:tcBorders>
              <w:top w:val="nil"/>
              <w:left w:val="nil"/>
              <w:bottom w:val="nil"/>
              <w:right w:val="nil"/>
            </w:tcBorders>
          </w:tcPr>
          <w:p w14:paraId="60E9C477" w14:textId="77777777" w:rsidR="00B90E7E" w:rsidRPr="00E20E5B"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4.695</w:t>
            </w:r>
          </w:p>
        </w:tc>
        <w:tc>
          <w:tcPr>
            <w:tcW w:w="1735" w:type="dxa"/>
            <w:tcBorders>
              <w:top w:val="nil"/>
              <w:left w:val="nil"/>
              <w:bottom w:val="nil"/>
              <w:right w:val="nil"/>
            </w:tcBorders>
          </w:tcPr>
          <w:p w14:paraId="0322E313" w14:textId="77777777" w:rsidR="00B90E7E" w:rsidRPr="001D3F98"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4.035</w:t>
            </w:r>
          </w:p>
        </w:tc>
        <w:tc>
          <w:tcPr>
            <w:tcW w:w="1735" w:type="dxa"/>
            <w:tcBorders>
              <w:top w:val="nil"/>
              <w:left w:val="nil"/>
              <w:bottom w:val="nil"/>
              <w:right w:val="nil"/>
            </w:tcBorders>
          </w:tcPr>
          <w:p w14:paraId="6C6DFB35" w14:textId="77777777" w:rsidR="00B90E7E" w:rsidRPr="001D3F98" w:rsidRDefault="00E20E5B" w:rsidP="00CD5F09">
            <w:pPr>
              <w:spacing w:after="0" w:line="240" w:lineRule="auto"/>
              <w:jc w:val="center"/>
              <w:rPr>
                <w:rFonts w:ascii="Palatino Linotype" w:eastAsia="Times New Roman" w:hAnsi="Palatino Linotype" w:cs="Times New Roman"/>
                <w:i/>
                <w:iCs/>
                <w:sz w:val="20"/>
                <w:szCs w:val="20"/>
              </w:rPr>
            </w:pPr>
            <w:r w:rsidRPr="00B90E7E">
              <w:rPr>
                <w:rFonts w:ascii="Palatino Linotype" w:eastAsia="Times New Roman" w:hAnsi="Palatino Linotype" w:cs="Times New Roman"/>
                <w:sz w:val="20"/>
                <w:szCs w:val="20"/>
              </w:rPr>
              <w:t>-0.660</w:t>
            </w:r>
          </w:p>
        </w:tc>
      </w:tr>
      <w:tr w:rsidR="00B90E7E" w:rsidRPr="001D3F98" w14:paraId="3DC1A22A" w14:textId="77777777" w:rsidTr="0001740A">
        <w:trPr>
          <w:trHeight w:val="105"/>
          <w:jc w:val="center"/>
        </w:trPr>
        <w:tc>
          <w:tcPr>
            <w:tcW w:w="2268" w:type="dxa"/>
            <w:tcBorders>
              <w:top w:val="nil"/>
              <w:left w:val="nil"/>
              <w:bottom w:val="nil"/>
              <w:right w:val="nil"/>
            </w:tcBorders>
          </w:tcPr>
          <w:p w14:paraId="2717D1F5" w14:textId="77777777" w:rsidR="00B90E7E" w:rsidRPr="00E20E5B"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Empathy</w:t>
            </w:r>
          </w:p>
        </w:tc>
        <w:tc>
          <w:tcPr>
            <w:tcW w:w="1798" w:type="dxa"/>
            <w:tcBorders>
              <w:top w:val="nil"/>
              <w:left w:val="nil"/>
              <w:bottom w:val="nil"/>
              <w:right w:val="nil"/>
            </w:tcBorders>
          </w:tcPr>
          <w:p w14:paraId="57DE66B0" w14:textId="77777777" w:rsidR="00B90E7E" w:rsidRPr="00E20E5B"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4.670</w:t>
            </w:r>
          </w:p>
        </w:tc>
        <w:tc>
          <w:tcPr>
            <w:tcW w:w="1735" w:type="dxa"/>
            <w:tcBorders>
              <w:top w:val="nil"/>
              <w:left w:val="nil"/>
              <w:bottom w:val="nil"/>
              <w:right w:val="nil"/>
            </w:tcBorders>
          </w:tcPr>
          <w:p w14:paraId="0A16611B" w14:textId="77777777" w:rsidR="00B90E7E" w:rsidRPr="001D3F98" w:rsidRDefault="00E20E5B" w:rsidP="00E20E5B">
            <w:pPr>
              <w:spacing w:after="0" w:line="240" w:lineRule="auto"/>
              <w:jc w:val="center"/>
              <w:rPr>
                <w:rFonts w:ascii="Palatino Linotype" w:eastAsia="Times New Roman" w:hAnsi="Palatino Linotype" w:cs="Times New Roman"/>
                <w:sz w:val="20"/>
                <w:szCs w:val="20"/>
              </w:rPr>
            </w:pPr>
            <w:r>
              <w:rPr>
                <w:rFonts w:ascii="Palatino Linotype" w:eastAsia="Times New Roman" w:hAnsi="Palatino Linotype" w:cs="Times New Roman"/>
                <w:sz w:val="20"/>
                <w:szCs w:val="20"/>
              </w:rPr>
              <w:t>4.045</w:t>
            </w:r>
          </w:p>
        </w:tc>
        <w:tc>
          <w:tcPr>
            <w:tcW w:w="1735" w:type="dxa"/>
            <w:tcBorders>
              <w:top w:val="nil"/>
              <w:left w:val="nil"/>
              <w:bottom w:val="nil"/>
              <w:right w:val="nil"/>
            </w:tcBorders>
          </w:tcPr>
          <w:p w14:paraId="17980341" w14:textId="77777777" w:rsidR="00B90E7E" w:rsidRPr="001D3F98" w:rsidRDefault="00E20E5B" w:rsidP="00CD5F09">
            <w:pPr>
              <w:spacing w:after="0" w:line="240" w:lineRule="auto"/>
              <w:jc w:val="center"/>
              <w:rPr>
                <w:rFonts w:ascii="Palatino Linotype" w:eastAsia="Times New Roman" w:hAnsi="Palatino Linotype" w:cs="Times New Roman"/>
                <w:i/>
                <w:iCs/>
                <w:sz w:val="20"/>
                <w:szCs w:val="20"/>
              </w:rPr>
            </w:pPr>
            <w:r w:rsidRPr="00B90E7E">
              <w:rPr>
                <w:rFonts w:ascii="Palatino Linotype" w:eastAsia="Times New Roman" w:hAnsi="Palatino Linotype" w:cs="Times New Roman"/>
                <w:sz w:val="20"/>
                <w:szCs w:val="20"/>
              </w:rPr>
              <w:t>-0.625</w:t>
            </w:r>
          </w:p>
        </w:tc>
      </w:tr>
      <w:tr w:rsidR="00E20E5B" w:rsidRPr="001D3F98" w14:paraId="6B1CC9D0" w14:textId="77777777" w:rsidTr="0001740A">
        <w:trPr>
          <w:trHeight w:val="105"/>
          <w:jc w:val="center"/>
        </w:trPr>
        <w:tc>
          <w:tcPr>
            <w:tcW w:w="2268" w:type="dxa"/>
            <w:tcBorders>
              <w:top w:val="nil"/>
              <w:left w:val="nil"/>
              <w:bottom w:val="single" w:sz="12" w:space="0" w:color="000000"/>
              <w:right w:val="nil"/>
            </w:tcBorders>
          </w:tcPr>
          <w:p w14:paraId="4876FF06" w14:textId="77777777" w:rsidR="00E20E5B" w:rsidRPr="00E20E5B" w:rsidRDefault="00E20E5B" w:rsidP="00E20E5B">
            <w:pPr>
              <w:spacing w:after="0" w:line="240" w:lineRule="auto"/>
              <w:jc w:val="center"/>
              <w:rPr>
                <w:rFonts w:ascii="Palatino Linotype" w:eastAsia="Times New Roman" w:hAnsi="Palatino Linotype" w:cs="Times New Roman"/>
                <w:b/>
                <w:sz w:val="20"/>
                <w:szCs w:val="20"/>
              </w:rPr>
            </w:pPr>
            <w:r w:rsidRPr="00E20E5B">
              <w:rPr>
                <w:rFonts w:ascii="Palatino Linotype" w:eastAsia="Times New Roman" w:hAnsi="Palatino Linotype" w:cs="Times New Roman"/>
                <w:b/>
                <w:sz w:val="20"/>
                <w:szCs w:val="20"/>
              </w:rPr>
              <w:t>Overall</w:t>
            </w:r>
          </w:p>
        </w:tc>
        <w:tc>
          <w:tcPr>
            <w:tcW w:w="1798" w:type="dxa"/>
            <w:tcBorders>
              <w:top w:val="nil"/>
              <w:left w:val="nil"/>
              <w:bottom w:val="single" w:sz="12" w:space="0" w:color="000000"/>
              <w:right w:val="nil"/>
            </w:tcBorders>
          </w:tcPr>
          <w:p w14:paraId="182253E3" w14:textId="77777777" w:rsidR="00E20E5B" w:rsidRPr="00E20E5B" w:rsidRDefault="00E20E5B" w:rsidP="00E20E5B">
            <w:pPr>
              <w:spacing w:after="0" w:line="240" w:lineRule="auto"/>
              <w:jc w:val="center"/>
              <w:rPr>
                <w:rFonts w:ascii="Palatino Linotype" w:eastAsia="Times New Roman" w:hAnsi="Palatino Linotype" w:cs="Times New Roman"/>
                <w:b/>
                <w:sz w:val="20"/>
                <w:szCs w:val="20"/>
              </w:rPr>
            </w:pPr>
            <w:r w:rsidRPr="00E20E5B">
              <w:rPr>
                <w:rFonts w:ascii="Palatino Linotype" w:eastAsia="Times New Roman" w:hAnsi="Palatino Linotype" w:cs="Times New Roman"/>
                <w:b/>
                <w:sz w:val="20"/>
                <w:szCs w:val="20"/>
              </w:rPr>
              <w:t>4.694</w:t>
            </w:r>
          </w:p>
        </w:tc>
        <w:tc>
          <w:tcPr>
            <w:tcW w:w="1735" w:type="dxa"/>
            <w:tcBorders>
              <w:top w:val="nil"/>
              <w:left w:val="nil"/>
              <w:bottom w:val="single" w:sz="12" w:space="0" w:color="000000"/>
              <w:right w:val="nil"/>
            </w:tcBorders>
          </w:tcPr>
          <w:p w14:paraId="77F8E29C" w14:textId="77777777" w:rsidR="00E20E5B" w:rsidRPr="00E20E5B" w:rsidRDefault="00E20E5B" w:rsidP="00E20E5B">
            <w:pPr>
              <w:spacing w:after="0" w:line="240" w:lineRule="auto"/>
              <w:jc w:val="center"/>
              <w:rPr>
                <w:rFonts w:ascii="Palatino Linotype" w:eastAsia="Times New Roman" w:hAnsi="Palatino Linotype" w:cs="Times New Roman"/>
                <w:b/>
                <w:sz w:val="20"/>
                <w:szCs w:val="20"/>
              </w:rPr>
            </w:pPr>
            <w:r w:rsidRPr="00E20E5B">
              <w:rPr>
                <w:rFonts w:ascii="Palatino Linotype" w:eastAsia="Times New Roman" w:hAnsi="Palatino Linotype" w:cs="Times New Roman"/>
                <w:b/>
                <w:sz w:val="20"/>
                <w:szCs w:val="20"/>
              </w:rPr>
              <w:t>4.049</w:t>
            </w:r>
          </w:p>
        </w:tc>
        <w:tc>
          <w:tcPr>
            <w:tcW w:w="1735" w:type="dxa"/>
            <w:tcBorders>
              <w:top w:val="nil"/>
              <w:left w:val="nil"/>
              <w:bottom w:val="single" w:sz="12" w:space="0" w:color="000000"/>
              <w:right w:val="nil"/>
            </w:tcBorders>
          </w:tcPr>
          <w:p w14:paraId="221A6EE3" w14:textId="77777777" w:rsidR="00E20E5B" w:rsidRPr="00E20E5B" w:rsidRDefault="00E20E5B" w:rsidP="00CD5F09">
            <w:pPr>
              <w:spacing w:after="0" w:line="240" w:lineRule="auto"/>
              <w:jc w:val="center"/>
              <w:rPr>
                <w:rFonts w:ascii="Palatino Linotype" w:eastAsia="Times New Roman" w:hAnsi="Palatino Linotype" w:cs="Times New Roman"/>
                <w:b/>
                <w:sz w:val="20"/>
                <w:szCs w:val="20"/>
              </w:rPr>
            </w:pPr>
            <w:r w:rsidRPr="00E20E5B">
              <w:rPr>
                <w:rFonts w:ascii="Palatino Linotype" w:eastAsia="Times New Roman" w:hAnsi="Palatino Linotype" w:cs="Times New Roman"/>
                <w:b/>
                <w:sz w:val="20"/>
                <w:szCs w:val="20"/>
              </w:rPr>
              <w:t>-0.645</w:t>
            </w:r>
          </w:p>
        </w:tc>
      </w:tr>
    </w:tbl>
    <w:p w14:paraId="4A77181D" w14:textId="77777777" w:rsidR="00E20E5B" w:rsidRPr="00E20E5B" w:rsidRDefault="00E20E5B" w:rsidP="008A174C">
      <w:pPr>
        <w:tabs>
          <w:tab w:val="left" w:pos="450"/>
        </w:tabs>
        <w:spacing w:before="120" w:after="0"/>
        <w:jc w:val="both"/>
        <w:rPr>
          <w:rFonts w:ascii="Palatino Linotype" w:eastAsia="Times New Roman" w:hAnsi="Palatino Linotype" w:cs="Times New Roman"/>
          <w:sz w:val="24"/>
          <w:szCs w:val="24"/>
        </w:rPr>
      </w:pPr>
      <w:r w:rsidRPr="00E20E5B">
        <w:rPr>
          <w:rFonts w:ascii="Palatino Linotype" w:eastAsia="Times New Roman" w:hAnsi="Palatino Linotype" w:cs="Times New Roman"/>
          <w:sz w:val="24"/>
          <w:szCs w:val="24"/>
        </w:rPr>
        <w:t xml:space="preserve">The results show that all five SERVQUAL dimensions had negative gaps. The largest gap occurred in the </w:t>
      </w:r>
      <w:r w:rsidR="008A174C">
        <w:rPr>
          <w:rFonts w:ascii="Palatino Linotype" w:eastAsia="Times New Roman" w:hAnsi="Palatino Linotype" w:cs="Times New Roman"/>
          <w:b/>
          <w:sz w:val="24"/>
          <w:szCs w:val="24"/>
        </w:rPr>
        <w:t>tangibles</w:t>
      </w:r>
      <w:r w:rsidRPr="00E20E5B">
        <w:rPr>
          <w:rFonts w:ascii="Palatino Linotype" w:eastAsia="Times New Roman" w:hAnsi="Palatino Linotype" w:cs="Times New Roman"/>
          <w:b/>
          <w:sz w:val="24"/>
          <w:szCs w:val="24"/>
        </w:rPr>
        <w:t xml:space="preserve"> (-0.670)</w:t>
      </w:r>
      <w:r w:rsidRPr="00E20E5B">
        <w:rPr>
          <w:rFonts w:ascii="Palatino Linotype" w:eastAsia="Times New Roman" w:hAnsi="Palatino Linotype" w:cs="Times New Roman"/>
          <w:sz w:val="24"/>
          <w:szCs w:val="24"/>
        </w:rPr>
        <w:t xml:space="preserve">, followed by </w:t>
      </w:r>
      <w:r w:rsidR="008A174C">
        <w:rPr>
          <w:rFonts w:ascii="Palatino Linotype" w:eastAsia="Times New Roman" w:hAnsi="Palatino Linotype" w:cs="Times New Roman"/>
          <w:b/>
          <w:sz w:val="24"/>
          <w:szCs w:val="24"/>
        </w:rPr>
        <w:t>assurance</w:t>
      </w:r>
      <w:r w:rsidRPr="00E20E5B">
        <w:rPr>
          <w:rFonts w:ascii="Palatino Linotype" w:eastAsia="Times New Roman" w:hAnsi="Palatino Linotype" w:cs="Times New Roman"/>
          <w:b/>
          <w:sz w:val="24"/>
          <w:szCs w:val="24"/>
        </w:rPr>
        <w:t xml:space="preserve"> (-0.660)</w:t>
      </w:r>
      <w:r w:rsidRPr="00E20E5B">
        <w:rPr>
          <w:rFonts w:ascii="Palatino Linotype" w:eastAsia="Times New Roman" w:hAnsi="Palatino Linotype" w:cs="Times New Roman"/>
          <w:sz w:val="24"/>
          <w:szCs w:val="24"/>
        </w:rPr>
        <w:t xml:space="preserve">. The smallest gap was observed in the </w:t>
      </w:r>
      <w:r w:rsidR="008A174C">
        <w:rPr>
          <w:rFonts w:ascii="Palatino Linotype" w:eastAsia="Times New Roman" w:hAnsi="Palatino Linotype" w:cs="Times New Roman"/>
          <w:b/>
          <w:sz w:val="24"/>
          <w:szCs w:val="24"/>
        </w:rPr>
        <w:t>empathy</w:t>
      </w:r>
      <w:r w:rsidRPr="00E20E5B">
        <w:rPr>
          <w:rFonts w:ascii="Palatino Linotype" w:eastAsia="Times New Roman" w:hAnsi="Palatino Linotype" w:cs="Times New Roman"/>
          <w:b/>
          <w:sz w:val="24"/>
          <w:szCs w:val="24"/>
        </w:rPr>
        <w:t xml:space="preserve"> (-0.625)</w:t>
      </w:r>
      <w:r w:rsidRPr="00E20E5B">
        <w:rPr>
          <w:rFonts w:ascii="Palatino Linotype" w:eastAsia="Times New Roman" w:hAnsi="Palatino Linotype" w:cs="Times New Roman"/>
          <w:sz w:val="24"/>
          <w:szCs w:val="24"/>
        </w:rPr>
        <w:t>.</w:t>
      </w:r>
    </w:p>
    <w:p w14:paraId="55E4EB92" w14:textId="77777777" w:rsidR="00B90E7E" w:rsidRDefault="00E20E5B"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E20E5B">
        <w:rPr>
          <w:rFonts w:ascii="Palatino Linotype" w:eastAsia="Times New Roman" w:hAnsi="Palatino Linotype" w:cs="Times New Roman"/>
          <w:sz w:val="24"/>
          <w:szCs w:val="24"/>
        </w:rPr>
        <w:t>The relatively large gap in the tangibles dimension suggests that physical facilities, equipment, learning resources, or other tangible aspects of the training environment may require particular attention. Meanwhile, the gap in assurance indicates the importance of maintaining and improving aspects associated with the competence, professionalism, and credibility of personnel involved in the training and certification process.</w:t>
      </w:r>
    </w:p>
    <w:p w14:paraId="4A2E347A" w14:textId="77777777" w:rsidR="00B90E7E" w:rsidRPr="00B90E7E" w:rsidRDefault="00E20E5B"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E20E5B">
        <w:rPr>
          <w:rFonts w:ascii="Palatino Linotype" w:eastAsia="Times New Roman" w:hAnsi="Palatino Linotype" w:cs="Times New Roman"/>
          <w:sz w:val="24"/>
          <w:szCs w:val="24"/>
        </w:rPr>
        <w:t xml:space="preserve">Although the empathy dimension showed the smallest gap, its negative value indicates that participants' expectations were still higher than their perceptions. Therefore, the findings should not be interpreted as indicating that this dimension </w:t>
      </w:r>
      <w:r w:rsidRPr="00E20E5B">
        <w:rPr>
          <w:rFonts w:ascii="Palatino Linotype" w:eastAsia="Times New Roman" w:hAnsi="Palatino Linotype" w:cs="Times New Roman"/>
          <w:sz w:val="24"/>
          <w:szCs w:val="24"/>
        </w:rPr>
        <w:lastRenderedPageBreak/>
        <w:t>requires no improvement. Rather, it suggests that its performance was relatively closer to participant expectations compared with the other dimensions.</w:t>
      </w:r>
    </w:p>
    <w:p w14:paraId="69A0107F" w14:textId="77777777" w:rsidR="00E20E5B" w:rsidRPr="00260B4F" w:rsidRDefault="00E20E5B" w:rsidP="0001740A">
      <w:pPr>
        <w:pStyle w:val="ListParagraph"/>
        <w:numPr>
          <w:ilvl w:val="1"/>
          <w:numId w:val="4"/>
        </w:numPr>
        <w:tabs>
          <w:tab w:val="left" w:pos="450"/>
        </w:tabs>
        <w:spacing w:before="120" w:after="0"/>
        <w:ind w:left="426" w:hanging="426"/>
        <w:jc w:val="both"/>
        <w:rPr>
          <w:rFonts w:ascii="Palatino Linotype" w:eastAsia="Times New Roman" w:hAnsi="Palatino Linotype" w:cs="Times New Roman"/>
          <w:bCs/>
          <w:sz w:val="24"/>
          <w:szCs w:val="24"/>
        </w:rPr>
      </w:pPr>
      <w:r w:rsidRPr="00260B4F">
        <w:rPr>
          <w:rFonts w:ascii="Palatino Linotype" w:eastAsia="Times New Roman" w:hAnsi="Palatino Linotype" w:cs="Times New Roman"/>
          <w:bCs/>
          <w:sz w:val="24"/>
          <w:szCs w:val="24"/>
        </w:rPr>
        <w:t>Service Conformity Level</w:t>
      </w:r>
    </w:p>
    <w:p w14:paraId="3CA5D2B8" w14:textId="77777777" w:rsidR="00E20E5B" w:rsidRPr="00E20E5B" w:rsidRDefault="0001740A"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 xml:space="preserve">The service conformity analysis provides a percentage-based interpretation of the correspondence between participant expectations and perceived service performance. The overall conformity level was </w:t>
      </w:r>
      <w:r w:rsidR="00E20E5B" w:rsidRPr="0001740A">
        <w:rPr>
          <w:rFonts w:ascii="Palatino Linotype" w:eastAsia="Times New Roman" w:hAnsi="Palatino Linotype" w:cs="Times New Roman"/>
          <w:b/>
          <w:sz w:val="24"/>
          <w:szCs w:val="24"/>
        </w:rPr>
        <w:t>86.26%</w:t>
      </w:r>
      <w:r w:rsidR="00E20E5B" w:rsidRPr="00E20E5B">
        <w:rPr>
          <w:rFonts w:ascii="Palatino Linotype" w:eastAsia="Times New Roman" w:hAnsi="Palatino Linotype" w:cs="Times New Roman"/>
          <w:sz w:val="24"/>
          <w:szCs w:val="24"/>
        </w:rPr>
        <w:t>.</w:t>
      </w:r>
    </w:p>
    <w:p w14:paraId="4091BCFA" w14:textId="77777777" w:rsidR="00E20E5B" w:rsidRPr="00E20E5B" w:rsidRDefault="0001740A"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 xml:space="preserve">This result indicates that the overall service performance reached approximately 86% of the level expected by respondents. Conversely, there remained approximately </w:t>
      </w:r>
      <w:r w:rsidR="00E20E5B" w:rsidRPr="0001740A">
        <w:rPr>
          <w:rFonts w:ascii="Palatino Linotype" w:eastAsia="Times New Roman" w:hAnsi="Palatino Linotype" w:cs="Times New Roman"/>
          <w:b/>
          <w:sz w:val="24"/>
          <w:szCs w:val="24"/>
        </w:rPr>
        <w:t>13.74%</w:t>
      </w:r>
      <w:r w:rsidR="00E20E5B" w:rsidRPr="00E20E5B">
        <w:rPr>
          <w:rFonts w:ascii="Palatino Linotype" w:eastAsia="Times New Roman" w:hAnsi="Palatino Linotype" w:cs="Times New Roman"/>
          <w:sz w:val="24"/>
          <w:szCs w:val="24"/>
        </w:rPr>
        <w:t xml:space="preserve"> of the expected service level that was not fully achieved.</w:t>
      </w:r>
    </w:p>
    <w:p w14:paraId="320B9E62" w14:textId="77777777" w:rsidR="00E20E5B" w:rsidRPr="00E20E5B" w:rsidRDefault="0001740A"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 xml:space="preserve">At the attribute level, the highest conformity level was observed for </w:t>
      </w:r>
      <w:r w:rsidR="00E20E5B" w:rsidRPr="0001740A">
        <w:rPr>
          <w:rFonts w:ascii="Palatino Linotype" w:eastAsia="Times New Roman" w:hAnsi="Palatino Linotype" w:cs="Times New Roman"/>
          <w:b/>
          <w:sz w:val="24"/>
          <w:szCs w:val="24"/>
        </w:rPr>
        <w:t>A10 (89.41%)</w:t>
      </w:r>
      <w:r w:rsidR="00E20E5B" w:rsidRPr="00E20E5B">
        <w:rPr>
          <w:rFonts w:ascii="Palatino Linotype" w:eastAsia="Times New Roman" w:hAnsi="Palatino Linotype" w:cs="Times New Roman"/>
          <w:sz w:val="24"/>
          <w:szCs w:val="24"/>
        </w:rPr>
        <w:t xml:space="preserve">, followed by </w:t>
      </w:r>
      <w:r w:rsidR="00E20E5B" w:rsidRPr="0001740A">
        <w:rPr>
          <w:rFonts w:ascii="Palatino Linotype" w:eastAsia="Times New Roman" w:hAnsi="Palatino Linotype" w:cs="Times New Roman"/>
          <w:b/>
          <w:sz w:val="24"/>
          <w:szCs w:val="24"/>
        </w:rPr>
        <w:t>A17 (89.18%)</w:t>
      </w:r>
      <w:r w:rsidR="00E20E5B" w:rsidRPr="00E20E5B">
        <w:rPr>
          <w:rFonts w:ascii="Palatino Linotype" w:eastAsia="Times New Roman" w:hAnsi="Palatino Linotype" w:cs="Times New Roman"/>
          <w:sz w:val="24"/>
          <w:szCs w:val="24"/>
        </w:rPr>
        <w:t xml:space="preserve"> and </w:t>
      </w:r>
      <w:r w:rsidR="00E20E5B" w:rsidRPr="0001740A">
        <w:rPr>
          <w:rFonts w:ascii="Palatino Linotype" w:eastAsia="Times New Roman" w:hAnsi="Palatino Linotype" w:cs="Times New Roman"/>
          <w:b/>
          <w:sz w:val="24"/>
          <w:szCs w:val="24"/>
        </w:rPr>
        <w:t>A14 (88.24%)</w:t>
      </w:r>
      <w:r w:rsidR="00E20E5B" w:rsidRPr="00E20E5B">
        <w:rPr>
          <w:rFonts w:ascii="Palatino Linotype" w:eastAsia="Times New Roman" w:hAnsi="Palatino Linotype" w:cs="Times New Roman"/>
          <w:sz w:val="24"/>
          <w:szCs w:val="24"/>
        </w:rPr>
        <w:t>. These attributes indicate relatively good alignment between service perform</w:t>
      </w:r>
      <w:r w:rsidR="00E74C18">
        <w:rPr>
          <w:rFonts w:ascii="Palatino Linotype" w:eastAsia="Times New Roman" w:hAnsi="Palatino Linotype" w:cs="Times New Roman"/>
          <w:sz w:val="24"/>
          <w:szCs w:val="24"/>
        </w:rPr>
        <w:t>ance and respondent expectation</w:t>
      </w:r>
      <w:r w:rsidR="00E20E5B" w:rsidRPr="00E20E5B">
        <w:rPr>
          <w:rFonts w:ascii="Palatino Linotype" w:eastAsia="Times New Roman" w:hAnsi="Palatino Linotype" w:cs="Times New Roman"/>
          <w:sz w:val="24"/>
          <w:szCs w:val="24"/>
        </w:rPr>
        <w:t>.</w:t>
      </w:r>
    </w:p>
    <w:p w14:paraId="02C7EE19" w14:textId="77777777" w:rsidR="00E20E5B" w:rsidRPr="00E20E5B" w:rsidRDefault="0001740A"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 xml:space="preserve">The lowest conformity level was observed for </w:t>
      </w:r>
      <w:r w:rsidR="00E20E5B" w:rsidRPr="0001740A">
        <w:rPr>
          <w:rFonts w:ascii="Palatino Linotype" w:eastAsia="Times New Roman" w:hAnsi="Palatino Linotype" w:cs="Times New Roman"/>
          <w:b/>
          <w:sz w:val="24"/>
          <w:szCs w:val="24"/>
        </w:rPr>
        <w:t>A15 (81.97%)</w:t>
      </w:r>
      <w:r w:rsidR="00E20E5B" w:rsidRPr="00E20E5B">
        <w:rPr>
          <w:rFonts w:ascii="Palatino Linotype" w:eastAsia="Times New Roman" w:hAnsi="Palatino Linotype" w:cs="Times New Roman"/>
          <w:sz w:val="24"/>
          <w:szCs w:val="24"/>
        </w:rPr>
        <w:t xml:space="preserve">, followed by </w:t>
      </w:r>
      <w:r w:rsidR="00E20E5B" w:rsidRPr="0001740A">
        <w:rPr>
          <w:rFonts w:ascii="Palatino Linotype" w:eastAsia="Times New Roman" w:hAnsi="Palatino Linotype" w:cs="Times New Roman"/>
          <w:b/>
          <w:sz w:val="24"/>
          <w:szCs w:val="24"/>
        </w:rPr>
        <w:t>A3 (83.68%)</w:t>
      </w:r>
      <w:r w:rsidR="00E20E5B" w:rsidRPr="00E20E5B">
        <w:rPr>
          <w:rFonts w:ascii="Palatino Linotype" w:eastAsia="Times New Roman" w:hAnsi="Palatino Linotype" w:cs="Times New Roman"/>
          <w:sz w:val="24"/>
          <w:szCs w:val="24"/>
        </w:rPr>
        <w:t>, A12 and A19 (84.62%), and A9 (84.68%). These findings reinforce the SERVQUAL results, particularly for A15 and A3, which showed relatively large gaps.</w:t>
      </w:r>
    </w:p>
    <w:p w14:paraId="4B05D60D" w14:textId="77777777" w:rsidR="005C4AC0" w:rsidRPr="005C4AC0" w:rsidRDefault="0001740A"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The conformity analysis therefore provides complementary information to the SERVQUAL gap analysis. While the SERVQUAL gap identifies the direction and magnitude of the discrepancy between expectations and perceptions, the conformity percentage indicates the degree to which the delivered service corresponds to the expected level. The combination of these indicators allows the training organizer to identify both the magnitude of service deficiencies and the extent to which services have fulfilled participant expectations.</w:t>
      </w:r>
      <w:r w:rsidR="00BA6E41">
        <w:rPr>
          <w:rFonts w:ascii="Palatino Linotype" w:eastAsia="Times New Roman" w:hAnsi="Palatino Linotype" w:cs="Times New Roman"/>
          <w:sz w:val="24"/>
          <w:szCs w:val="24"/>
        </w:rPr>
        <w:tab/>
      </w:r>
    </w:p>
    <w:p w14:paraId="39F18791" w14:textId="77777777" w:rsidR="005C4AC0" w:rsidRPr="00260B4F" w:rsidRDefault="005C4AC0" w:rsidP="0097009D">
      <w:pPr>
        <w:pStyle w:val="ListParagraph"/>
        <w:numPr>
          <w:ilvl w:val="1"/>
          <w:numId w:val="4"/>
        </w:numPr>
        <w:tabs>
          <w:tab w:val="left" w:pos="450"/>
        </w:tabs>
        <w:spacing w:before="120" w:after="0"/>
        <w:ind w:left="426" w:hanging="426"/>
        <w:jc w:val="both"/>
        <w:rPr>
          <w:rFonts w:ascii="Palatino Linotype" w:eastAsia="Times New Roman" w:hAnsi="Palatino Linotype" w:cs="Times New Roman"/>
          <w:bCs/>
          <w:sz w:val="24"/>
          <w:szCs w:val="24"/>
        </w:rPr>
      </w:pPr>
      <w:r w:rsidRPr="00260B4F">
        <w:rPr>
          <w:rFonts w:ascii="Palatino Linotype" w:eastAsia="Times New Roman" w:hAnsi="Palatino Linotype" w:cs="Times New Roman"/>
          <w:bCs/>
          <w:sz w:val="24"/>
          <w:szCs w:val="24"/>
        </w:rPr>
        <w:t>Expectation–Performance Analysis Based on the IPA Framework</w:t>
      </w:r>
    </w:p>
    <w:p w14:paraId="01EAA42A" w14:textId="77777777" w:rsidR="00E20E5B" w:rsidRPr="00E20E5B" w:rsidRDefault="0097009D"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An expectation–performance matrix based on the Importance–Performance Analysis (IPA) framework was subsequently used to determine service improvement priorities. Since the questionnaire did not include a separate importance variable, the expectation score was used as an indicator of the expected importance of the service attributes, while the perception score represented service performance.</w:t>
      </w:r>
    </w:p>
    <w:p w14:paraId="21A8949C" w14:textId="77777777" w:rsidR="005C4AC0" w:rsidRPr="005C4AC0" w:rsidRDefault="0001740A" w:rsidP="00E74C18">
      <w:pPr>
        <w:tabs>
          <w:tab w:val="left" w:pos="450"/>
        </w:tabs>
        <w:spacing w:after="12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The overall mean expectation score (4.694) and the overall mean perception score (4.049) were used as the intersection points of the matrix. Based on these reference values, the 20 service attributes were distributed into four quadrants, as shown in Table 4.</w:t>
      </w:r>
    </w:p>
    <w:p w14:paraId="5B59E4BD" w14:textId="77777777" w:rsidR="005C4AC0" w:rsidRPr="001D3F98" w:rsidRDefault="0009053D" w:rsidP="005C4AC0">
      <w:pPr>
        <w:tabs>
          <w:tab w:val="left" w:pos="450"/>
        </w:tabs>
        <w:spacing w:after="0"/>
        <w:jc w:val="center"/>
        <w:rPr>
          <w:rFonts w:ascii="Palatino Linotype" w:eastAsia="Times New Roman" w:hAnsi="Palatino Linotype" w:cs="Times New Roman"/>
          <w:sz w:val="24"/>
          <w:szCs w:val="24"/>
          <w:lang w:val="en-GB"/>
        </w:rPr>
      </w:pPr>
      <w:r>
        <w:rPr>
          <w:rFonts w:ascii="Palatino Linotype" w:eastAsia="Times New Roman" w:hAnsi="Palatino Linotype" w:cs="Times New Roman"/>
          <w:noProof/>
          <w:sz w:val="24"/>
          <w:szCs w:val="24"/>
          <w14:ligatures w14:val="standardContextual"/>
        </w:rPr>
        <w:lastRenderedPageBreak/>
        <w:drawing>
          <wp:inline distT="0" distB="0" distL="0" distR="0" wp14:anchorId="7EBD37C6" wp14:editId="3E810DAA">
            <wp:extent cx="3510951" cy="2842198"/>
            <wp:effectExtent l="19050" t="19050" r="13335" b="158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xpectation-performance-matrix.png"/>
                    <pic:cNvPicPr/>
                  </pic:nvPicPr>
                  <pic:blipFill rotWithShape="1">
                    <a:blip r:embed="rId8" cstate="print">
                      <a:extLst>
                        <a:ext uri="{28A0092B-C50C-407E-A947-70E740481C1C}">
                          <a14:useLocalDpi xmlns:a14="http://schemas.microsoft.com/office/drawing/2010/main" val="0"/>
                        </a:ext>
                      </a:extLst>
                    </a:blip>
                    <a:srcRect t="5550"/>
                    <a:stretch/>
                  </pic:blipFill>
                  <pic:spPr bwMode="auto">
                    <a:xfrm>
                      <a:off x="0" y="0"/>
                      <a:ext cx="3529572" cy="285727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2A8FCC1" w14:textId="77777777" w:rsidR="005C4AC0" w:rsidRDefault="005C4AC0" w:rsidP="00E74C18">
      <w:pPr>
        <w:tabs>
          <w:tab w:val="left" w:pos="450"/>
        </w:tabs>
        <w:spacing w:before="120" w:after="120"/>
        <w:jc w:val="center"/>
        <w:rPr>
          <w:rFonts w:ascii="Palatino Linotype" w:eastAsia="Times New Roman" w:hAnsi="Palatino Linotype" w:cs="Times New Roman"/>
          <w:sz w:val="24"/>
          <w:szCs w:val="24"/>
          <w:lang w:val="en-GB"/>
        </w:rPr>
      </w:pPr>
      <w:r w:rsidRPr="001D3F98">
        <w:rPr>
          <w:rFonts w:ascii="Palatino Linotype" w:eastAsia="Times New Roman" w:hAnsi="Palatino Linotype" w:cs="Times New Roman"/>
          <w:b/>
          <w:bCs/>
          <w:sz w:val="24"/>
          <w:szCs w:val="24"/>
          <w:lang w:val="en-GB"/>
        </w:rPr>
        <w:t>Figure 1.</w:t>
      </w:r>
      <w:r w:rsidRPr="001D3F98">
        <w:rPr>
          <w:rFonts w:ascii="Palatino Linotype" w:eastAsia="Times New Roman" w:hAnsi="Palatino Linotype" w:cs="Times New Roman"/>
          <w:sz w:val="24"/>
          <w:szCs w:val="24"/>
          <w:lang w:val="en-GB"/>
        </w:rPr>
        <w:t xml:space="preserve"> </w:t>
      </w:r>
      <w:r w:rsidRPr="005C4AC0">
        <w:rPr>
          <w:rFonts w:ascii="Palatino Linotype" w:eastAsia="Times New Roman" w:hAnsi="Palatino Linotype" w:cs="Times New Roman"/>
          <w:sz w:val="24"/>
          <w:szCs w:val="24"/>
          <w:lang w:val="en-GB"/>
        </w:rPr>
        <w:t>Distribution of Service Attributes Based on the Expectation–Performance Matrix</w:t>
      </w:r>
    </w:p>
    <w:p w14:paraId="69840948" w14:textId="77777777" w:rsidR="00260B4F" w:rsidRPr="001D3F98" w:rsidRDefault="00260B4F" w:rsidP="00E74C18">
      <w:pPr>
        <w:tabs>
          <w:tab w:val="left" w:pos="450"/>
        </w:tabs>
        <w:spacing w:before="120" w:after="120"/>
        <w:jc w:val="center"/>
        <w:rPr>
          <w:rFonts w:ascii="Palatino Linotype" w:eastAsia="Times New Roman" w:hAnsi="Palatino Linotype" w:cs="Times New Roman"/>
          <w:sz w:val="24"/>
          <w:szCs w:val="24"/>
          <w:lang w:val="en-GB"/>
        </w:rPr>
      </w:pPr>
    </w:p>
    <w:p w14:paraId="47F546A3" w14:textId="77777777" w:rsidR="00E20E5B" w:rsidRPr="00E20E5B" w:rsidRDefault="0097009D"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 xml:space="preserve">The two attributes located in </w:t>
      </w:r>
      <w:r w:rsidR="00E20E5B" w:rsidRPr="0001740A">
        <w:rPr>
          <w:rFonts w:ascii="Palatino Linotype" w:eastAsia="Times New Roman" w:hAnsi="Palatino Linotype" w:cs="Times New Roman"/>
          <w:b/>
          <w:sz w:val="24"/>
          <w:szCs w:val="24"/>
        </w:rPr>
        <w:t>Quadrant I</w:t>
      </w:r>
      <w:r w:rsidR="00E20E5B" w:rsidRPr="00E20E5B">
        <w:rPr>
          <w:rFonts w:ascii="Palatino Linotype" w:eastAsia="Times New Roman" w:hAnsi="Palatino Linotype" w:cs="Times New Roman"/>
          <w:sz w:val="24"/>
          <w:szCs w:val="24"/>
        </w:rPr>
        <w:t xml:space="preserve">, </w:t>
      </w:r>
      <w:r w:rsidR="00E20E5B" w:rsidRPr="0001740A">
        <w:rPr>
          <w:rFonts w:ascii="Palatino Linotype" w:eastAsia="Times New Roman" w:hAnsi="Palatino Linotype" w:cs="Times New Roman"/>
          <w:b/>
          <w:sz w:val="24"/>
          <w:szCs w:val="24"/>
        </w:rPr>
        <w:t>A3</w:t>
      </w:r>
      <w:r w:rsidR="00E20E5B" w:rsidRPr="00E20E5B">
        <w:rPr>
          <w:rFonts w:ascii="Palatino Linotype" w:eastAsia="Times New Roman" w:hAnsi="Palatino Linotype" w:cs="Times New Roman"/>
          <w:sz w:val="24"/>
          <w:szCs w:val="24"/>
        </w:rPr>
        <w:t xml:space="preserve"> and </w:t>
      </w:r>
      <w:r w:rsidR="00E20E5B" w:rsidRPr="0001740A">
        <w:rPr>
          <w:rFonts w:ascii="Palatino Linotype" w:eastAsia="Times New Roman" w:hAnsi="Palatino Linotype" w:cs="Times New Roman"/>
          <w:b/>
          <w:sz w:val="24"/>
          <w:szCs w:val="24"/>
        </w:rPr>
        <w:t>A9</w:t>
      </w:r>
      <w:r w:rsidR="00E20E5B" w:rsidRPr="00E20E5B">
        <w:rPr>
          <w:rFonts w:ascii="Palatino Linotype" w:eastAsia="Times New Roman" w:hAnsi="Palatino Linotype" w:cs="Times New Roman"/>
          <w:sz w:val="24"/>
          <w:szCs w:val="24"/>
        </w:rPr>
        <w:t>, represent the main priorities for service improvement. These attributes have relatively high expectation scores but below-average performance scores. Consequently, respondents considered these aspects important, while the actual service performance remained below the overall performance level.</w:t>
      </w:r>
    </w:p>
    <w:p w14:paraId="27A3C2D8" w14:textId="77777777" w:rsidR="00E20E5B" w:rsidRPr="00E20E5B" w:rsidRDefault="0001740A"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 xml:space="preserve">Attributes in </w:t>
      </w:r>
      <w:r w:rsidR="00E20E5B" w:rsidRPr="0001740A">
        <w:rPr>
          <w:rFonts w:ascii="Palatino Linotype" w:eastAsia="Times New Roman" w:hAnsi="Palatino Linotype" w:cs="Times New Roman"/>
          <w:b/>
          <w:sz w:val="24"/>
          <w:szCs w:val="24"/>
        </w:rPr>
        <w:t>Quadrant II</w:t>
      </w:r>
      <w:r w:rsidR="00E20E5B" w:rsidRPr="00E20E5B">
        <w:rPr>
          <w:rFonts w:ascii="Palatino Linotype" w:eastAsia="Times New Roman" w:hAnsi="Palatino Linotype" w:cs="Times New Roman"/>
          <w:sz w:val="24"/>
          <w:szCs w:val="24"/>
        </w:rPr>
        <w:t xml:space="preserve"> include A2, A5, A7, A8, A10, A13, A14, and A18. These attributes have relatively high expectation and performance scores. They therefore represent aspects of the training and certification service that are already performing relatively well and should be maintained.</w:t>
      </w:r>
    </w:p>
    <w:p w14:paraId="507693F6" w14:textId="77777777" w:rsidR="00E20E5B" w:rsidRPr="00E74C18" w:rsidRDefault="00E74C18" w:rsidP="008A174C">
      <w:pPr>
        <w:tabs>
          <w:tab w:val="left" w:pos="450"/>
        </w:tabs>
        <w:spacing w:after="0"/>
        <w:jc w:val="both"/>
        <w:rPr>
          <w:rFonts w:ascii="Palatino Linotype" w:eastAsia="Times New Roman" w:hAnsi="Palatino Linotype" w:cs="Times New Roman"/>
          <w:sz w:val="28"/>
          <w:szCs w:val="24"/>
        </w:rPr>
      </w:pPr>
      <w:r>
        <w:rPr>
          <w:rFonts w:ascii="Palatino Linotype" w:hAnsi="Palatino Linotype"/>
          <w:sz w:val="24"/>
        </w:rPr>
        <w:tab/>
      </w:r>
      <w:r w:rsidR="0001740A" w:rsidRPr="00E74C18">
        <w:rPr>
          <w:rFonts w:ascii="Palatino Linotype" w:hAnsi="Palatino Linotype"/>
          <w:sz w:val="24"/>
        </w:rPr>
        <w:t xml:space="preserve">Attributes in </w:t>
      </w:r>
      <w:r w:rsidR="0001740A" w:rsidRPr="00EE269A">
        <w:rPr>
          <w:rFonts w:ascii="Palatino Linotype" w:hAnsi="Palatino Linotype"/>
          <w:b/>
          <w:sz w:val="24"/>
        </w:rPr>
        <w:t>Quadrant III</w:t>
      </w:r>
      <w:r w:rsidR="0001740A" w:rsidRPr="00E74C18">
        <w:rPr>
          <w:rFonts w:ascii="Palatino Linotype" w:hAnsi="Palatino Linotype"/>
          <w:sz w:val="24"/>
        </w:rPr>
        <w:t xml:space="preserve"> include A4, A6, A11, A12, A15, A16, A19, and A20. These attributes have relatively low expectation and performance scores compared with the overall means. Importantly, A15 illustrates why the largest SERVQUAL gap does not automatically translate into the highest IPA priority: although the assessment and certification process attribute has the largest negative gap (-0.84) and the lowest conformity level (81.97%), its expectation score (4.66) is slightly below the overall expectation mean (4.694). In IPA, priority is determined by the combination of relative importance/expectation and performance, not by the gap magnitude alone. Therefore, A15 falls into Quadrant III and is considered a secondary priority when resources must be allocated selectively. From a managerial perspective, PPNS should not ignore A15; rather, it should address the issue through targeted low-cost actions such as clearer assessment guidance, standardized certification information, participant </w:t>
      </w:r>
      <w:r w:rsidR="0001740A" w:rsidRPr="00E74C18">
        <w:rPr>
          <w:rFonts w:ascii="Palatino Linotype" w:hAnsi="Palatino Linotype"/>
          <w:sz w:val="24"/>
        </w:rPr>
        <w:lastRenderedPageBreak/>
        <w:t>briefings before assessment, and a concise post-assessment clarification channel, while allocating more immediate improvement resources to A3 and A9.</w:t>
      </w:r>
    </w:p>
    <w:p w14:paraId="701726BF" w14:textId="77777777" w:rsidR="005C4AC0" w:rsidRPr="005C4AC0" w:rsidRDefault="0001740A"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 xml:space="preserve">A1 and A17 were positioned in </w:t>
      </w:r>
      <w:r w:rsidR="00E20E5B" w:rsidRPr="0001740A">
        <w:rPr>
          <w:rFonts w:ascii="Palatino Linotype" w:eastAsia="Times New Roman" w:hAnsi="Palatino Linotype" w:cs="Times New Roman"/>
          <w:b/>
          <w:sz w:val="24"/>
          <w:szCs w:val="24"/>
        </w:rPr>
        <w:t>Quadrant IV</w:t>
      </w:r>
      <w:r w:rsidR="00E20E5B" w:rsidRPr="00E20E5B">
        <w:rPr>
          <w:rFonts w:ascii="Palatino Linotype" w:eastAsia="Times New Roman" w:hAnsi="Palatino Linotype" w:cs="Times New Roman"/>
          <w:sz w:val="24"/>
          <w:szCs w:val="24"/>
        </w:rPr>
        <w:t>, indicating relatively high performance despite relatively lower expectation levels. These attributes do not constitute immediate improvement priorities. The organizer may nevertheless review whether the resources allocated to these aspects are proportional to their perceived importance to participants.</w:t>
      </w:r>
    </w:p>
    <w:p w14:paraId="43365A2F" w14:textId="77777777" w:rsidR="005C4AC0" w:rsidRPr="00260B4F" w:rsidRDefault="00E20E5B" w:rsidP="0001740A">
      <w:pPr>
        <w:pStyle w:val="ListParagraph"/>
        <w:numPr>
          <w:ilvl w:val="1"/>
          <w:numId w:val="4"/>
        </w:numPr>
        <w:tabs>
          <w:tab w:val="left" w:pos="450"/>
        </w:tabs>
        <w:spacing w:before="120" w:after="0"/>
        <w:ind w:left="426" w:hanging="426"/>
        <w:jc w:val="both"/>
        <w:rPr>
          <w:rFonts w:ascii="Palatino Linotype" w:eastAsia="Times New Roman" w:hAnsi="Palatino Linotype" w:cs="Times New Roman"/>
          <w:bCs/>
          <w:sz w:val="24"/>
          <w:szCs w:val="24"/>
        </w:rPr>
      </w:pPr>
      <w:r w:rsidRPr="00260B4F">
        <w:rPr>
          <w:rFonts w:ascii="Palatino Linotype" w:eastAsia="Times New Roman" w:hAnsi="Palatino Linotype" w:cs="Times New Roman"/>
          <w:bCs/>
          <w:sz w:val="24"/>
          <w:szCs w:val="24"/>
        </w:rPr>
        <w:t>Priority Areas for Service Improvement</w:t>
      </w:r>
    </w:p>
    <w:p w14:paraId="172E8D07" w14:textId="77777777" w:rsidR="00E20E5B" w:rsidRPr="00E20E5B" w:rsidRDefault="00227A19"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The integration of the SERVQUAL gap, service conformity level, and expectation–performance analysis provides a more comprehensive basis for determining service improvement priorities. The results demonstrate that the magnitude of a SERVQUAL gap alone does not necessarily determine the priority of improvement.</w:t>
      </w:r>
    </w:p>
    <w:p w14:paraId="6FE4F1C0" w14:textId="77777777" w:rsidR="00E20E5B" w:rsidRPr="00E20E5B" w:rsidRDefault="0001740A"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 xml:space="preserve">In contrast, </w:t>
      </w:r>
      <w:r w:rsidR="00E20E5B" w:rsidRPr="0001740A">
        <w:rPr>
          <w:rFonts w:ascii="Palatino Linotype" w:eastAsia="Times New Roman" w:hAnsi="Palatino Linotype" w:cs="Times New Roman"/>
          <w:b/>
          <w:sz w:val="24"/>
          <w:szCs w:val="24"/>
        </w:rPr>
        <w:t>A3</w:t>
      </w:r>
      <w:r w:rsidR="00E20E5B" w:rsidRPr="00E20E5B">
        <w:rPr>
          <w:rFonts w:ascii="Palatino Linotype" w:eastAsia="Times New Roman" w:hAnsi="Palatino Linotype" w:cs="Times New Roman"/>
          <w:sz w:val="24"/>
          <w:szCs w:val="24"/>
        </w:rPr>
        <w:t xml:space="preserve"> and </w:t>
      </w:r>
      <w:r w:rsidR="00E20E5B" w:rsidRPr="0001740A">
        <w:rPr>
          <w:rFonts w:ascii="Palatino Linotype" w:eastAsia="Times New Roman" w:hAnsi="Palatino Linotype" w:cs="Times New Roman"/>
          <w:b/>
          <w:sz w:val="24"/>
          <w:szCs w:val="24"/>
        </w:rPr>
        <w:t>A9</w:t>
      </w:r>
      <w:r w:rsidR="00E20E5B" w:rsidRPr="00E20E5B">
        <w:rPr>
          <w:rFonts w:ascii="Palatino Linotype" w:eastAsia="Times New Roman" w:hAnsi="Palatino Linotype" w:cs="Times New Roman"/>
          <w:sz w:val="24"/>
          <w:szCs w:val="24"/>
        </w:rPr>
        <w:t xml:space="preserve"> were identified as the primary improvement priorities through the expectation–performance analysis. Both attributes have relatively high expectation levels but relatively low performance. This combination indicates that improvements in these service aspects are more likely to respond directly to participant priorities.</w:t>
      </w:r>
    </w:p>
    <w:p w14:paraId="3D1B3309" w14:textId="77777777" w:rsidR="0009053D" w:rsidRPr="00E74C18" w:rsidRDefault="00E74C18" w:rsidP="0009053D">
      <w:pPr>
        <w:tabs>
          <w:tab w:val="left" w:pos="450"/>
        </w:tabs>
        <w:spacing w:after="0"/>
        <w:jc w:val="both"/>
        <w:rPr>
          <w:rFonts w:ascii="Palatino Linotype" w:eastAsia="Times New Roman" w:hAnsi="Palatino Linotype" w:cs="Times New Roman"/>
          <w:sz w:val="28"/>
          <w:szCs w:val="24"/>
        </w:rPr>
      </w:pPr>
      <w:r>
        <w:rPr>
          <w:rFonts w:ascii="Palatino Linotype" w:hAnsi="Palatino Linotype"/>
          <w:sz w:val="24"/>
        </w:rPr>
        <w:tab/>
      </w:r>
      <w:r w:rsidR="00937A13" w:rsidRPr="00E74C18">
        <w:rPr>
          <w:rFonts w:ascii="Palatino Linotype" w:hAnsi="Palatino Linotype"/>
          <w:sz w:val="24"/>
        </w:rPr>
        <w:t>For PPNS, the findings provide practical feedback for improving the implementation of the Welding Inspector Comprehensive Training and Certification Program. The first priorities should be A3, concerning the cleanliness, comfort, and readiness of classrooms and practical areas, and A9, concerning the promptness of instructor assistance during practical sessions. For A3, PPNS should strengthen pre-session facility checks, cleaning and maintenance routines, and readiness verification for practical equipment and learning spaces. For A9, instructors should actively monitor practical activities, use a defined response procedure for participant difficulties, and ensure that assistance is available without disrupting the training flow. These actions are directly connected to the participant learning experience and can support more consistent engagement with practical competency development. A15 should be managed as a secondary improvement item: despite its largest gap, its lower relative expectation places it in Quadrant III, so targeted improvements to assessment and certification communication can be implemented without displacing the higher-priority facility and responsiveness interventions.</w:t>
      </w:r>
    </w:p>
    <w:p w14:paraId="5781A37B" w14:textId="77777777" w:rsidR="00E20E5B" w:rsidRPr="00E20E5B" w:rsidRDefault="0009053D" w:rsidP="0009053D">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Pr="0009053D">
        <w:rPr>
          <w:rFonts w:ascii="Palatino Linotype" w:eastAsia="Times New Roman" w:hAnsi="Palatino Linotype" w:cs="Times New Roman"/>
          <w:sz w:val="24"/>
          <w:szCs w:val="24"/>
        </w:rPr>
        <w:t>These improvements are expected to enhance the learning experience and impr</w:t>
      </w:r>
      <w:r>
        <w:rPr>
          <w:rFonts w:ascii="Palatino Linotype" w:eastAsia="Times New Roman" w:hAnsi="Palatino Linotype" w:cs="Times New Roman"/>
          <w:sz w:val="24"/>
          <w:szCs w:val="24"/>
        </w:rPr>
        <w:t xml:space="preserve">ove the overall quality of the </w:t>
      </w:r>
      <w:r w:rsidRPr="0009053D">
        <w:rPr>
          <w:rFonts w:ascii="Palatino Linotype" w:eastAsia="Times New Roman" w:hAnsi="Palatino Linotype" w:cs="Times New Roman"/>
          <w:sz w:val="24"/>
          <w:szCs w:val="24"/>
        </w:rPr>
        <w:t>Welding Inspector Comprehensive Tra</w:t>
      </w:r>
      <w:r>
        <w:rPr>
          <w:rFonts w:ascii="Palatino Linotype" w:eastAsia="Times New Roman" w:hAnsi="Palatino Linotype" w:cs="Times New Roman"/>
          <w:sz w:val="24"/>
          <w:szCs w:val="24"/>
        </w:rPr>
        <w:t>ining and Certification Program</w:t>
      </w:r>
      <w:r w:rsidRPr="0009053D">
        <w:rPr>
          <w:rFonts w:ascii="Palatino Linotype" w:eastAsia="Times New Roman" w:hAnsi="Palatino Linotype" w:cs="Times New Roman"/>
          <w:sz w:val="24"/>
          <w:szCs w:val="24"/>
        </w:rPr>
        <w:t xml:space="preserve"> at PPNS.</w:t>
      </w:r>
    </w:p>
    <w:p w14:paraId="23697CE7" w14:textId="77777777" w:rsidR="00DF3020" w:rsidRPr="00937A13" w:rsidRDefault="00937A13" w:rsidP="008A174C">
      <w:pPr>
        <w:tabs>
          <w:tab w:val="left" w:pos="450"/>
        </w:tabs>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b/>
      </w:r>
      <w:r w:rsidR="00E20E5B" w:rsidRPr="00E20E5B">
        <w:rPr>
          <w:rFonts w:ascii="Palatino Linotype" w:eastAsia="Times New Roman" w:hAnsi="Palatino Linotype" w:cs="Times New Roman"/>
          <w:sz w:val="24"/>
          <w:szCs w:val="24"/>
        </w:rPr>
        <w:t xml:space="preserve">From a community service perspective, the evaluation translates participant perceptions into identifiable service gaps and prioritized areas for intervention. This approach can support the development of more responsive and participant-oriented </w:t>
      </w:r>
      <w:r w:rsidR="00E20E5B" w:rsidRPr="00E20E5B">
        <w:rPr>
          <w:rFonts w:ascii="Palatino Linotype" w:eastAsia="Times New Roman" w:hAnsi="Palatino Linotype" w:cs="Times New Roman"/>
          <w:sz w:val="24"/>
          <w:szCs w:val="24"/>
        </w:rPr>
        <w:lastRenderedPageBreak/>
        <w:t>competency training and certification services and may subsequently be adapted for other vocational training programs.</w:t>
      </w:r>
    </w:p>
    <w:p w14:paraId="20E96DE1" w14:textId="77777777" w:rsidR="00DF3020" w:rsidRPr="001D3F98" w:rsidRDefault="00DF3020">
      <w:pPr>
        <w:tabs>
          <w:tab w:val="left" w:pos="450"/>
        </w:tabs>
        <w:spacing w:after="0"/>
        <w:jc w:val="both"/>
        <w:rPr>
          <w:rFonts w:ascii="Palatino Linotype" w:eastAsia="Cambria" w:hAnsi="Palatino Linotype" w:cs="Times New Roman"/>
          <w:lang w:val="en-GB"/>
        </w:rPr>
      </w:pPr>
    </w:p>
    <w:p w14:paraId="362920EA" w14:textId="77777777" w:rsidR="00DF3020" w:rsidRPr="00E20E5B" w:rsidRDefault="00CB3856" w:rsidP="008A174C">
      <w:pPr>
        <w:pStyle w:val="ListParagraph"/>
        <w:numPr>
          <w:ilvl w:val="0"/>
          <w:numId w:val="4"/>
        </w:numPr>
        <w:tabs>
          <w:tab w:val="left" w:pos="450"/>
        </w:tabs>
        <w:spacing w:after="0"/>
        <w:jc w:val="both"/>
        <w:rPr>
          <w:rFonts w:ascii="Palatino Linotype" w:eastAsia="Times New Roman" w:hAnsi="Palatino Linotype" w:cs="Times New Roman"/>
          <w:sz w:val="24"/>
          <w:szCs w:val="24"/>
          <w:lang w:val="en-GB"/>
        </w:rPr>
      </w:pPr>
      <w:r w:rsidRPr="00E20E5B">
        <w:rPr>
          <w:rFonts w:ascii="Palatino Linotype" w:eastAsia="Times New Roman" w:hAnsi="Palatino Linotype" w:cs="Times New Roman"/>
          <w:b/>
          <w:bCs/>
          <w:sz w:val="24"/>
          <w:szCs w:val="24"/>
        </w:rPr>
        <w:t>Conclusion</w:t>
      </w:r>
    </w:p>
    <w:p w14:paraId="62E0721E" w14:textId="77777777" w:rsidR="002F3D5E" w:rsidRPr="002F3D5E" w:rsidRDefault="002F3D5E" w:rsidP="008A174C">
      <w:pPr>
        <w:spacing w:after="0"/>
        <w:ind w:right="30" w:firstLine="450"/>
        <w:jc w:val="both"/>
        <w:rPr>
          <w:rFonts w:ascii="Palatino Linotype" w:eastAsia="Times New Roman" w:hAnsi="Palatino Linotype" w:cs="Times New Roman"/>
          <w:sz w:val="24"/>
          <w:szCs w:val="24"/>
          <w:lang w:val="en-GB"/>
        </w:rPr>
      </w:pPr>
      <w:r w:rsidRPr="002F3D5E">
        <w:rPr>
          <w:rFonts w:ascii="Palatino Linotype" w:eastAsia="Times New Roman" w:hAnsi="Palatino Linotype" w:cs="Times New Roman"/>
          <w:sz w:val="24"/>
          <w:szCs w:val="24"/>
          <w:lang w:val="en-GB"/>
        </w:rPr>
        <w:t xml:space="preserve">This community service activity evaluated the quality of the Welding Inspector Comprehensive Training and Certification Program at PPNS using SERVQUAL, service conformity analysis, and an expectation–performance matrix based on the IPA framework. Based on responses from 50 participants and 20 service attributes, the overall SERVQUAL gap was </w:t>
      </w:r>
      <w:r w:rsidRPr="002F3D5E">
        <w:rPr>
          <w:rFonts w:ascii="Palatino Linotype" w:eastAsia="Times New Roman" w:hAnsi="Palatino Linotype" w:cs="Times New Roman"/>
          <w:b/>
          <w:sz w:val="24"/>
          <w:szCs w:val="24"/>
          <w:lang w:val="en-GB"/>
        </w:rPr>
        <w:t>-0.645</w:t>
      </w:r>
      <w:r w:rsidRPr="002F3D5E">
        <w:rPr>
          <w:rFonts w:ascii="Palatino Linotype" w:eastAsia="Times New Roman" w:hAnsi="Palatino Linotype" w:cs="Times New Roman"/>
          <w:sz w:val="24"/>
          <w:szCs w:val="24"/>
          <w:lang w:val="en-GB"/>
        </w:rPr>
        <w:t xml:space="preserve">, with a service conformity level of </w:t>
      </w:r>
      <w:r w:rsidRPr="002F3D5E">
        <w:rPr>
          <w:rFonts w:ascii="Palatino Linotype" w:eastAsia="Times New Roman" w:hAnsi="Palatino Linotype" w:cs="Times New Roman"/>
          <w:b/>
          <w:sz w:val="24"/>
          <w:szCs w:val="24"/>
          <w:lang w:val="en-GB"/>
        </w:rPr>
        <w:t>86.26%</w:t>
      </w:r>
      <w:r w:rsidRPr="002F3D5E">
        <w:rPr>
          <w:rFonts w:ascii="Palatino Linotype" w:eastAsia="Times New Roman" w:hAnsi="Palatino Linotype" w:cs="Times New Roman"/>
          <w:sz w:val="24"/>
          <w:szCs w:val="24"/>
          <w:lang w:val="en-GB"/>
        </w:rPr>
        <w:t>, indicating that the services had not fully met participants' expectations.</w:t>
      </w:r>
    </w:p>
    <w:p w14:paraId="5786E32E" w14:textId="77777777" w:rsidR="00DF3020" w:rsidRPr="00E74C18" w:rsidRDefault="002F3D5E" w:rsidP="008A174C">
      <w:pPr>
        <w:spacing w:after="0"/>
        <w:ind w:right="30" w:firstLine="450"/>
        <w:jc w:val="both"/>
        <w:rPr>
          <w:rFonts w:ascii="Palatino Linotype" w:eastAsia="Times New Roman" w:hAnsi="Palatino Linotype" w:cs="Times New Roman"/>
          <w:sz w:val="28"/>
          <w:szCs w:val="24"/>
          <w:lang w:val="en-GB"/>
        </w:rPr>
      </w:pPr>
      <w:r w:rsidRPr="00E74C18">
        <w:rPr>
          <w:rFonts w:ascii="Palatino Linotype" w:hAnsi="Palatino Linotype"/>
          <w:sz w:val="24"/>
        </w:rPr>
        <w:t>The expectation–performance analysis identified A3, referring to the cleanliness, comfort, and readiness of classrooms and practical areas, and A9, referring to prompt instructor assistance during practical difficulties, as the main priorities for improvement. These findings provide evidence-based feedback for PPNS to strengthen the service conditions that most directly affect participants' training experience while maintaining aspects that already perform relatively well. The evaluation approach can also support continuous improvement of other vocational training and professional certification programs.</w:t>
      </w:r>
    </w:p>
    <w:p w14:paraId="6CC64655" w14:textId="77777777" w:rsidR="00DF3020" w:rsidRPr="001D3F98" w:rsidRDefault="00DF3020">
      <w:pPr>
        <w:tabs>
          <w:tab w:val="left" w:pos="450"/>
        </w:tabs>
        <w:spacing w:after="0"/>
        <w:jc w:val="both"/>
        <w:rPr>
          <w:rFonts w:ascii="Palatino Linotype" w:eastAsia="Cambria" w:hAnsi="Palatino Linotype" w:cs="Times New Roman"/>
          <w:sz w:val="24"/>
          <w:szCs w:val="24"/>
          <w:lang w:val="en-GB"/>
        </w:rPr>
      </w:pPr>
    </w:p>
    <w:p w14:paraId="0D8516EE" w14:textId="77777777" w:rsidR="00DF3020" w:rsidRDefault="00FE389B">
      <w:pPr>
        <w:tabs>
          <w:tab w:val="left" w:pos="450"/>
        </w:tabs>
        <w:spacing w:after="120"/>
        <w:jc w:val="both"/>
        <w:rPr>
          <w:rFonts w:ascii="Palatino Linotype" w:eastAsia="Cambria" w:hAnsi="Palatino Linotype" w:cs="Times New Roman"/>
          <w:b/>
          <w:bCs/>
          <w:sz w:val="24"/>
          <w:szCs w:val="24"/>
        </w:rPr>
      </w:pPr>
      <w:r w:rsidRPr="001D3F98">
        <w:rPr>
          <w:rFonts w:ascii="Palatino Linotype" w:eastAsia="Cambria" w:hAnsi="Palatino Linotype" w:cs="Times New Roman"/>
          <w:b/>
          <w:bCs/>
          <w:sz w:val="24"/>
          <w:szCs w:val="24"/>
        </w:rPr>
        <w:t>Acknowledgments</w:t>
      </w:r>
    </w:p>
    <w:p w14:paraId="45CD593D" w14:textId="77777777" w:rsidR="00CB5F4C" w:rsidRPr="00CB5F4C" w:rsidRDefault="00CB5F4C">
      <w:pPr>
        <w:tabs>
          <w:tab w:val="left" w:pos="450"/>
        </w:tabs>
        <w:spacing w:after="120"/>
        <w:jc w:val="both"/>
        <w:rPr>
          <w:rFonts w:ascii="Palatino Linotype" w:eastAsia="Cambria" w:hAnsi="Palatino Linotype" w:cs="Times New Roman"/>
          <w:bCs/>
          <w:sz w:val="24"/>
          <w:szCs w:val="24"/>
        </w:rPr>
      </w:pPr>
      <w:r w:rsidRPr="00CB5F4C">
        <w:rPr>
          <w:rFonts w:ascii="Palatino Linotype" w:eastAsia="Cambria" w:hAnsi="Palatino Linotype" w:cs="Times New Roman"/>
          <w:bCs/>
          <w:sz w:val="24"/>
          <w:szCs w:val="24"/>
        </w:rPr>
        <w:t>The authors would like to express their sincere gratitude to the Center for Research and Community Service (P3M) of the Shipbuilding Institute of Polytechnic Surabaya for providing financial support for this activity.</w:t>
      </w:r>
    </w:p>
    <w:sdt>
      <w:sdtPr>
        <w:rPr>
          <w:rFonts w:ascii="Calibri" w:eastAsia="Calibri" w:hAnsi="Calibri" w:cstheme="minorBidi"/>
          <w:color w:val="auto"/>
          <w:sz w:val="22"/>
          <w:szCs w:val="22"/>
        </w:rPr>
        <w:id w:val="-878547296"/>
        <w:docPartObj>
          <w:docPartGallery w:val="Bibliographies"/>
          <w:docPartUnique/>
        </w:docPartObj>
      </w:sdtPr>
      <w:sdtContent>
        <w:p w14:paraId="71E55C83" w14:textId="36E83D00" w:rsidR="009E2E9C" w:rsidRPr="009E2E9C" w:rsidRDefault="00260B4F">
          <w:pPr>
            <w:pStyle w:val="Heading1"/>
            <w:rPr>
              <w:rFonts w:ascii="Palatino Linotype" w:hAnsi="Palatino Linotype"/>
              <w:b/>
              <w:color w:val="auto"/>
              <w:sz w:val="24"/>
            </w:rPr>
          </w:pPr>
          <w:r>
            <w:rPr>
              <w:rFonts w:ascii="Palatino Linotype" w:hAnsi="Palatino Linotype"/>
              <w:b/>
              <w:color w:val="auto"/>
              <w:sz w:val="24"/>
            </w:rPr>
            <w:t>References</w:t>
          </w:r>
        </w:p>
        <w:sdt>
          <w:sdtPr>
            <w:id w:val="111145805"/>
            <w:bibliography/>
          </w:sdtPr>
          <w:sdtContent>
            <w:p w14:paraId="071B0840" w14:textId="77777777" w:rsidR="0034160E" w:rsidRPr="0034160E" w:rsidRDefault="009E2E9C" w:rsidP="00260B4F">
              <w:pPr>
                <w:pStyle w:val="Bibliography"/>
                <w:ind w:left="720" w:hanging="720"/>
                <w:jc w:val="both"/>
                <w:rPr>
                  <w:rFonts w:ascii="Palatino Linotype" w:hAnsi="Palatino Linotype"/>
                  <w:noProof/>
                  <w:sz w:val="24"/>
                  <w:szCs w:val="24"/>
                </w:rPr>
              </w:pPr>
              <w:r w:rsidRPr="0034160E">
                <w:rPr>
                  <w:rFonts w:ascii="Palatino Linotype" w:hAnsi="Palatino Linotype"/>
                </w:rPr>
                <w:fldChar w:fldCharType="begin"/>
              </w:r>
              <w:r w:rsidRPr="00260B4F">
                <w:rPr>
                  <w:rFonts w:ascii="Palatino Linotype" w:hAnsi="Palatino Linotype"/>
                </w:rPr>
                <w:instrText xml:space="preserve"> BIBLIOGRAPHY </w:instrText>
              </w:r>
              <w:r w:rsidRPr="0034160E">
                <w:rPr>
                  <w:rFonts w:ascii="Palatino Linotype" w:hAnsi="Palatino Linotype"/>
                </w:rPr>
                <w:fldChar w:fldCharType="separate"/>
              </w:r>
              <w:r w:rsidR="0034160E" w:rsidRPr="0034160E">
                <w:rPr>
                  <w:rFonts w:ascii="Palatino Linotype" w:hAnsi="Palatino Linotype"/>
                  <w:noProof/>
                </w:rPr>
                <w:t xml:space="preserve">Ahmad, T. L., &amp; Wardhani, S. A. (2023). Analysis of Service Quality Measurement at Vocational Higher Education with the Higher Education Performance Method (HEdPERF) and Importance Performance Analysis (IPA). </w:t>
              </w:r>
              <w:r w:rsidR="0034160E" w:rsidRPr="0034160E">
                <w:rPr>
                  <w:rFonts w:ascii="Palatino Linotype" w:hAnsi="Palatino Linotype"/>
                  <w:i/>
                  <w:iCs/>
                  <w:noProof/>
                </w:rPr>
                <w:t>IJIEM - Indonesian Journal of Industrial Engineering and Management, 4(2)</w:t>
              </w:r>
              <w:r w:rsidR="0034160E" w:rsidRPr="0034160E">
                <w:rPr>
                  <w:rFonts w:ascii="Palatino Linotype" w:hAnsi="Palatino Linotype"/>
                  <w:noProof/>
                </w:rPr>
                <w:t>, 184–197.</w:t>
              </w:r>
            </w:p>
            <w:p w14:paraId="33184010"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Aris, A. A. (2017). Teknologi Pengelasan Sebagai Moderasi Regulasi Pemerintah Dan Karakteristik Pekerja Terhadap Daya Saing Tenaga Kerja. </w:t>
              </w:r>
              <w:r w:rsidRPr="0034160E">
                <w:rPr>
                  <w:rFonts w:ascii="Palatino Linotype" w:hAnsi="Palatino Linotype"/>
                  <w:i/>
                  <w:iCs/>
                  <w:noProof/>
                </w:rPr>
                <w:t>AKMEN Jurnal Ilmiah, 14(2)</w:t>
              </w:r>
              <w:r w:rsidRPr="0034160E">
                <w:rPr>
                  <w:rFonts w:ascii="Palatino Linotype" w:hAnsi="Palatino Linotype"/>
                  <w:noProof/>
                </w:rPr>
                <w:t>, 275-285.</w:t>
              </w:r>
            </w:p>
            <w:p w14:paraId="445E8439"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AWS. (2008). </w:t>
              </w:r>
              <w:r w:rsidRPr="0034160E">
                <w:rPr>
                  <w:rFonts w:ascii="Palatino Linotype" w:hAnsi="Palatino Linotype"/>
                  <w:i/>
                  <w:iCs/>
                  <w:noProof/>
                </w:rPr>
                <w:t>Welding Inspection Technology Fifth Edition.</w:t>
              </w:r>
              <w:r w:rsidRPr="0034160E">
                <w:rPr>
                  <w:rFonts w:ascii="Palatino Linotype" w:hAnsi="Palatino Linotype"/>
                  <w:noProof/>
                </w:rPr>
                <w:t xml:space="preserve"> Miami: American Welding Society.</w:t>
              </w:r>
            </w:p>
            <w:p w14:paraId="79035373"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AWS. (2020). </w:t>
              </w:r>
              <w:r w:rsidRPr="0034160E">
                <w:rPr>
                  <w:rFonts w:ascii="Palatino Linotype" w:hAnsi="Palatino Linotype"/>
                  <w:i/>
                  <w:iCs/>
                  <w:noProof/>
                </w:rPr>
                <w:t>Welding Inspection Technology Sixth Edition.</w:t>
              </w:r>
              <w:r w:rsidRPr="0034160E">
                <w:rPr>
                  <w:rFonts w:ascii="Palatino Linotype" w:hAnsi="Palatino Linotype"/>
                  <w:noProof/>
                </w:rPr>
                <w:t xml:space="preserve"> Miami: American Welding Society.</w:t>
              </w:r>
            </w:p>
            <w:p w14:paraId="0FA54D54"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Bartolo, R. P., &amp; Tınmaz, H. (2024). Service quality in higher education: A literature review. </w:t>
              </w:r>
              <w:r w:rsidRPr="0034160E">
                <w:rPr>
                  <w:rFonts w:ascii="Palatino Linotype" w:hAnsi="Palatino Linotype"/>
                  <w:i/>
                  <w:iCs/>
                  <w:noProof/>
                </w:rPr>
                <w:t>Journal for the Education of Gifted Young Scientists, 12(3)</w:t>
              </w:r>
              <w:r w:rsidRPr="0034160E">
                <w:rPr>
                  <w:rFonts w:ascii="Palatino Linotype" w:hAnsi="Palatino Linotype"/>
                  <w:noProof/>
                </w:rPr>
                <w:t>, 119-135.</w:t>
              </w:r>
            </w:p>
            <w:p w14:paraId="53944E61"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lastRenderedPageBreak/>
                <w:t xml:space="preserve">Chakradhar, R. O.-M. (2022). Improving the quality of welding training with the help of mixed reality along with the cost reduction and enhancing safety. </w:t>
              </w:r>
              <w:r w:rsidRPr="0034160E">
                <w:rPr>
                  <w:rFonts w:ascii="Palatino Linotype" w:hAnsi="Palatino Linotype"/>
                  <w:i/>
                  <w:iCs/>
                  <w:noProof/>
                </w:rPr>
                <w:t>Management Science Letters, 12(4)</w:t>
              </w:r>
              <w:r w:rsidRPr="0034160E">
                <w:rPr>
                  <w:rFonts w:ascii="Palatino Linotype" w:hAnsi="Palatino Linotype"/>
                  <w:noProof/>
                </w:rPr>
                <w:t>, 321-330.</w:t>
              </w:r>
            </w:p>
            <w:p w14:paraId="7B8FC849"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CSWIP. (2024). </w:t>
              </w:r>
              <w:r w:rsidRPr="0034160E">
                <w:rPr>
                  <w:rFonts w:ascii="Palatino Linotype" w:hAnsi="Palatino Linotype"/>
                  <w:i/>
                  <w:iCs/>
                  <w:noProof/>
                </w:rPr>
                <w:t>Requirements for the Certification of Visual Welding Inspectors Welding Inspectors and Senior Welding Inspectors (fusion welding) in accordance with the requirements of BS EN ISO 17637.</w:t>
              </w:r>
              <w:r w:rsidRPr="0034160E">
                <w:rPr>
                  <w:rFonts w:ascii="Palatino Linotype" w:hAnsi="Palatino Linotype"/>
                  <w:noProof/>
                </w:rPr>
                <w:t xml:space="preserve"> Cambridge: CSWIP.</w:t>
              </w:r>
            </w:p>
            <w:p w14:paraId="56038BAF"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Dzikri, M., Napitupulu, L. S., &amp; Nasution, D. (2024). Analysis of Student Satisfaction with Services Using the Service Quality (ServQual) Method. </w:t>
              </w:r>
              <w:r w:rsidRPr="0034160E">
                <w:rPr>
                  <w:rFonts w:ascii="Palatino Linotype" w:hAnsi="Palatino Linotype"/>
                  <w:i/>
                  <w:iCs/>
                  <w:noProof/>
                </w:rPr>
                <w:t>Jusikom : Jurnal Sistem Informasi Ilmu Komputer, 8(1)</w:t>
              </w:r>
              <w:r w:rsidRPr="0034160E">
                <w:rPr>
                  <w:rFonts w:ascii="Palatino Linotype" w:hAnsi="Palatino Linotype"/>
                  <w:noProof/>
                </w:rPr>
                <w:t>, 330–345.</w:t>
              </w:r>
            </w:p>
            <w:p w14:paraId="61129974"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Hargiyarto, P. D. (2015). Student Welding Skill Competition Development Model with KKNI and Competency Certification Approach in Vocational School. </w:t>
              </w:r>
              <w:r w:rsidRPr="0034160E">
                <w:rPr>
                  <w:rFonts w:ascii="Palatino Linotype" w:hAnsi="Palatino Linotype"/>
                  <w:i/>
                  <w:iCs/>
                  <w:noProof/>
                </w:rPr>
                <w:t>Mechanical Engineering Education Department, Faculty of Engineering Yogyakakarta State University</w:t>
              </w:r>
              <w:r w:rsidRPr="0034160E">
                <w:rPr>
                  <w:rFonts w:ascii="Palatino Linotype" w:hAnsi="Palatino Linotype"/>
                  <w:noProof/>
                </w:rPr>
                <w:t>, 112 - 121.</w:t>
              </w:r>
            </w:p>
            <w:p w14:paraId="2195F206"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Martilla, J. A., &amp; James, J. C. (1977). Importance–Performance Analysis. </w:t>
              </w:r>
              <w:r w:rsidRPr="0034160E">
                <w:rPr>
                  <w:rFonts w:ascii="Palatino Linotype" w:hAnsi="Palatino Linotype"/>
                  <w:i/>
                  <w:iCs/>
                  <w:noProof/>
                </w:rPr>
                <w:t>Journal of Marketing, 41(1)</w:t>
              </w:r>
              <w:r w:rsidRPr="0034160E">
                <w:rPr>
                  <w:rFonts w:ascii="Palatino Linotype" w:hAnsi="Palatino Linotype"/>
                  <w:noProof/>
                </w:rPr>
                <w:t>, 77-79.</w:t>
              </w:r>
            </w:p>
            <w:p w14:paraId="1072A5D3"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Parasuraman, A., Zeithaml, V. A., &amp; Berry, L. L. (1988). SERVQUAL: A Multiple-Item Scale for Measuring Consumer Perceptions of Service Quality. </w:t>
              </w:r>
              <w:r w:rsidRPr="0034160E">
                <w:rPr>
                  <w:rFonts w:ascii="Palatino Linotype" w:hAnsi="Palatino Linotype"/>
                  <w:i/>
                  <w:iCs/>
                  <w:noProof/>
                </w:rPr>
                <w:t>Journal of Retailing, 64(1)</w:t>
              </w:r>
              <w:r w:rsidRPr="0034160E">
                <w:rPr>
                  <w:rFonts w:ascii="Palatino Linotype" w:hAnsi="Palatino Linotype"/>
                  <w:noProof/>
                </w:rPr>
                <w:t>, 12-40.</w:t>
              </w:r>
            </w:p>
            <w:p w14:paraId="19505ABC"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Raharjo, T. H., Mulyono, K. B., Ismiyati, &amp; Jaenudin, A. (2023). HEISQUAL–ACSI–IPA–PGCV: Synthesis of Higher Education Service Satisfaction Measurements. </w:t>
              </w:r>
              <w:r w:rsidRPr="0034160E">
                <w:rPr>
                  <w:rFonts w:ascii="Palatino Linotype" w:hAnsi="Palatino Linotype"/>
                  <w:i/>
                  <w:iCs/>
                  <w:noProof/>
                </w:rPr>
                <w:t>Asian Management and Business Review, 3(2)</w:t>
              </w:r>
              <w:r w:rsidRPr="0034160E">
                <w:rPr>
                  <w:rFonts w:ascii="Palatino Linotype" w:hAnsi="Palatino Linotype"/>
                  <w:noProof/>
                </w:rPr>
                <w:t>, 121–137.</w:t>
              </w:r>
            </w:p>
            <w:p w14:paraId="3AB591EC"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Surtiningtyas, S. R., &amp; Saputra, S. T. (2023). Employing Fuzzy-weighted SERVQUAL, Refined-KANO, IPA, and QFD to Assess Service Quality in Vocational Higher Education. </w:t>
              </w:r>
              <w:r w:rsidRPr="0034160E">
                <w:rPr>
                  <w:rFonts w:ascii="Palatino Linotype" w:hAnsi="Palatino Linotype"/>
                  <w:i/>
                  <w:iCs/>
                  <w:noProof/>
                </w:rPr>
                <w:t>Jurnal Kependidikan, 9(1)</w:t>
              </w:r>
              <w:r w:rsidRPr="0034160E">
                <w:rPr>
                  <w:rFonts w:ascii="Palatino Linotype" w:hAnsi="Palatino Linotype"/>
                  <w:noProof/>
                </w:rPr>
                <w:t>, 272–286.</w:t>
              </w:r>
            </w:p>
            <w:p w14:paraId="62ABEA57"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Wider, W., Tan, F. P., Tan, Y. P., Lin, J., Fauzi, M. A., Wong, L. S., . . . Hossain, S. F. (2024). Service quality (SERVQUAL) model in private higher education institutions: A bibliometric analysis of past, present, and future prospects. </w:t>
              </w:r>
              <w:r w:rsidRPr="0034160E">
                <w:rPr>
                  <w:rFonts w:ascii="Palatino Linotype" w:hAnsi="Palatino Linotype"/>
                  <w:i/>
                  <w:iCs/>
                  <w:noProof/>
                </w:rPr>
                <w:t>Social Sciences &amp; Humanities Open, 9</w:t>
              </w:r>
              <w:r w:rsidRPr="0034160E">
                <w:rPr>
                  <w:rFonts w:ascii="Palatino Linotype" w:hAnsi="Palatino Linotype"/>
                  <w:noProof/>
                </w:rPr>
                <w:t>, 100805.</w:t>
              </w:r>
            </w:p>
            <w:p w14:paraId="784A031D" w14:textId="77777777" w:rsidR="0034160E" w:rsidRPr="0034160E" w:rsidRDefault="0034160E" w:rsidP="00260B4F">
              <w:pPr>
                <w:pStyle w:val="Bibliography"/>
                <w:ind w:left="720" w:hanging="720"/>
                <w:jc w:val="both"/>
                <w:rPr>
                  <w:rFonts w:ascii="Palatino Linotype" w:hAnsi="Palatino Linotype"/>
                  <w:noProof/>
                </w:rPr>
              </w:pPr>
              <w:r w:rsidRPr="0034160E">
                <w:rPr>
                  <w:rFonts w:ascii="Palatino Linotype" w:hAnsi="Palatino Linotype"/>
                  <w:noProof/>
                </w:rPr>
                <w:t xml:space="preserve">Zhang, Y. M. (2020). Advanced Welding Manufacturing: A Brief Analysis and Review of Challenges and Solutions. </w:t>
              </w:r>
              <w:r w:rsidRPr="0034160E">
                <w:rPr>
                  <w:rFonts w:ascii="Palatino Linotype" w:hAnsi="Palatino Linotype"/>
                  <w:i/>
                  <w:iCs/>
                  <w:noProof/>
                </w:rPr>
                <w:t>ASME. J. Manuf. Sci. Eng. November 2020; 142(11)</w:t>
              </w:r>
              <w:r w:rsidRPr="0034160E">
                <w:rPr>
                  <w:rFonts w:ascii="Palatino Linotype" w:hAnsi="Palatino Linotype"/>
                  <w:noProof/>
                </w:rPr>
                <w:t>, 110816.</w:t>
              </w:r>
            </w:p>
            <w:p w14:paraId="4A6664DF" w14:textId="77777777" w:rsidR="009E2E9C" w:rsidRDefault="009E2E9C" w:rsidP="00260B4F">
              <w:pPr>
                <w:jc w:val="both"/>
              </w:pPr>
              <w:r w:rsidRPr="0034160E">
                <w:rPr>
                  <w:rFonts w:ascii="Palatino Linotype" w:hAnsi="Palatino Linotype"/>
                  <w:b/>
                  <w:bCs/>
                  <w:noProof/>
                </w:rPr>
                <w:fldChar w:fldCharType="end"/>
              </w:r>
            </w:p>
          </w:sdtContent>
        </w:sdt>
      </w:sdtContent>
    </w:sdt>
    <w:sectPr w:rsidR="009E2E9C" w:rsidSect="007D6724">
      <w:headerReference w:type="default" r:id="rId9"/>
      <w:footerReference w:type="default" r:id="rId10"/>
      <w:headerReference w:type="first" r:id="rId11"/>
      <w:footerReference w:type="first" r:id="rId12"/>
      <w:pgSz w:w="11906" w:h="16838"/>
      <w:pgMar w:top="1440" w:right="1440" w:bottom="1440" w:left="1440" w:header="708" w:footer="1011" w:gutter="0"/>
      <w:pgNumType w:start="21"/>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2E08A" w14:textId="77777777" w:rsidR="0075056F" w:rsidRDefault="0075056F">
      <w:pPr>
        <w:spacing w:after="0" w:line="240" w:lineRule="auto"/>
      </w:pPr>
      <w:r>
        <w:separator/>
      </w:r>
    </w:p>
  </w:endnote>
  <w:endnote w:type="continuationSeparator" w:id="0">
    <w:p w14:paraId="5E1687A0" w14:textId="77777777" w:rsidR="0075056F" w:rsidRDefault="00750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20"/>
        <w:szCs w:val="20"/>
      </w:rPr>
      <w:id w:val="59842061"/>
      <w:docPartObj>
        <w:docPartGallery w:val="Page Numbers (Bottom of Page)"/>
        <w:docPartUnique/>
      </w:docPartObj>
    </w:sdtPr>
    <w:sdtEndPr/>
    <w:sdtContent>
      <w:p w14:paraId="259E844B" w14:textId="77777777" w:rsidR="00CD5F09" w:rsidRPr="007D6724" w:rsidRDefault="00CD5F09">
        <w:pPr>
          <w:pStyle w:val="Footer"/>
          <w:jc w:val="right"/>
          <w:rPr>
            <w:rFonts w:ascii="Palatino Linotype" w:hAnsi="Palatino Linotype" w:cs="Times New Roman"/>
            <w:sz w:val="20"/>
            <w:szCs w:val="20"/>
            <w:lang w:val="it-IT"/>
          </w:rPr>
        </w:pPr>
        <w:r w:rsidRPr="007D6724">
          <w:rPr>
            <w:rFonts w:ascii="Palatino Linotype" w:hAnsi="Palatino Linotype" w:cs="Times New Roman"/>
            <w:sz w:val="20"/>
            <w:szCs w:val="20"/>
          </w:rPr>
          <w:fldChar w:fldCharType="begin"/>
        </w:r>
        <w:r w:rsidRPr="007D6724">
          <w:rPr>
            <w:rFonts w:ascii="Palatino Linotype" w:hAnsi="Palatino Linotype" w:cs="Times New Roman"/>
            <w:sz w:val="20"/>
            <w:szCs w:val="20"/>
            <w:lang w:val="it-IT"/>
          </w:rPr>
          <w:instrText xml:space="preserve"> PAGE </w:instrText>
        </w:r>
        <w:r w:rsidRPr="007D6724">
          <w:rPr>
            <w:rFonts w:ascii="Palatino Linotype" w:hAnsi="Palatino Linotype" w:cs="Times New Roman"/>
            <w:sz w:val="20"/>
            <w:szCs w:val="20"/>
          </w:rPr>
          <w:fldChar w:fldCharType="separate"/>
        </w:r>
        <w:r w:rsidR="005608A2" w:rsidRPr="007D6724">
          <w:rPr>
            <w:rFonts w:ascii="Palatino Linotype" w:hAnsi="Palatino Linotype" w:cs="Times New Roman"/>
            <w:noProof/>
            <w:sz w:val="20"/>
            <w:szCs w:val="20"/>
            <w:lang w:val="it-IT"/>
          </w:rPr>
          <w:t>18</w:t>
        </w:r>
        <w:r w:rsidRPr="007D6724">
          <w:rPr>
            <w:rFonts w:ascii="Palatino Linotype" w:hAnsi="Palatino Linotype" w:cs="Times New Roman"/>
            <w:sz w:val="20"/>
            <w:szCs w:val="20"/>
          </w:rPr>
          <w:fldChar w:fldCharType="end"/>
        </w:r>
      </w:p>
    </w:sdtContent>
  </w:sdt>
  <w:p w14:paraId="4D4602B1" w14:textId="2A0705E0" w:rsidR="00CD5F09" w:rsidRPr="001D0CFE" w:rsidRDefault="00CD5F09">
    <w:pPr>
      <w:pStyle w:val="Footer"/>
      <w:rPr>
        <w:rFonts w:ascii="Palatino Linotype" w:hAnsi="Palatino Linotype"/>
        <w:sz w:val="20"/>
        <w:szCs w:val="20"/>
      </w:rPr>
    </w:pPr>
    <w:r>
      <w:rPr>
        <w:rFonts w:ascii="Palatino Linotype" w:hAnsi="Palatino Linotype"/>
        <w:sz w:val="20"/>
        <w:szCs w:val="20"/>
        <w:lang w:val="en-US"/>
      </w:rPr>
      <w:t>Arninputranto</w:t>
    </w:r>
    <w:r w:rsidRPr="001D0CFE">
      <w:rPr>
        <w:rFonts w:ascii="Palatino Linotype" w:hAnsi="Palatino Linotype"/>
        <w:sz w:val="20"/>
        <w:szCs w:val="20"/>
        <w:lang w:val="id-ID"/>
      </w:rPr>
      <w:t xml:space="preserve"> et 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FE34" w14:textId="77777777" w:rsidR="007D6724" w:rsidRDefault="00CD5F09">
    <w:pPr>
      <w:pStyle w:val="Footer"/>
      <w:spacing w:before="120"/>
      <w:rPr>
        <w:rFonts w:ascii="Palatino Linotype" w:hAnsi="Palatino Linotype"/>
        <w:sz w:val="20"/>
        <w:szCs w:val="20"/>
        <w:lang w:val="en-GB"/>
      </w:rPr>
    </w:pPr>
    <w:r w:rsidRPr="001D0CFE">
      <w:rPr>
        <w:rFonts w:ascii="Palatino Linotype" w:hAnsi="Palatino Linotype"/>
        <w:sz w:val="20"/>
        <w:szCs w:val="20"/>
        <w:lang w:val="en-GB"/>
      </w:rPr>
      <w:t xml:space="preserve">Email Correspondence: </w:t>
    </w:r>
    <w:hyperlink r:id="rId1" w:history="1">
      <w:r w:rsidR="007D6724" w:rsidRPr="00F07F25">
        <w:rPr>
          <w:rStyle w:val="Hyperlink"/>
          <w:rFonts w:ascii="Palatino Linotype" w:hAnsi="Palatino Linotype"/>
          <w:sz w:val="20"/>
          <w:szCs w:val="20"/>
          <w:lang w:val="en-GB"/>
        </w:rPr>
        <w:t>wibowo@ppns.ac.id</w:t>
      </w:r>
    </w:hyperlink>
  </w:p>
  <w:sdt>
    <w:sdtPr>
      <w:id w:val="451978347"/>
      <w:docPartObj>
        <w:docPartGallery w:val="Page Numbers (Bottom of Page)"/>
        <w:docPartUnique/>
      </w:docPartObj>
    </w:sdtPr>
    <w:sdtEndPr>
      <w:rPr>
        <w:rFonts w:ascii="Palatino Linotype" w:hAnsi="Palatino Linotype"/>
        <w:noProof/>
      </w:rPr>
    </w:sdtEndPr>
    <w:sdtContent>
      <w:p w14:paraId="1E27DB72" w14:textId="77777777" w:rsidR="007D6724" w:rsidRPr="007D6724" w:rsidRDefault="007D6724" w:rsidP="007D6724">
        <w:pPr>
          <w:pStyle w:val="Footer"/>
          <w:jc w:val="right"/>
          <w:rPr>
            <w:rFonts w:ascii="Palatino Linotype" w:hAnsi="Palatino Linotype"/>
          </w:rPr>
        </w:pPr>
        <w:r w:rsidRPr="007D6724">
          <w:rPr>
            <w:rFonts w:ascii="Palatino Linotype" w:hAnsi="Palatino Linotype"/>
          </w:rPr>
          <w:fldChar w:fldCharType="begin"/>
        </w:r>
        <w:r w:rsidRPr="007D6724">
          <w:rPr>
            <w:rFonts w:ascii="Palatino Linotype" w:hAnsi="Palatino Linotype"/>
          </w:rPr>
          <w:instrText xml:space="preserve"> PAGE   \* MERGEFORMAT </w:instrText>
        </w:r>
        <w:r w:rsidRPr="007D6724">
          <w:rPr>
            <w:rFonts w:ascii="Palatino Linotype" w:hAnsi="Palatino Linotype"/>
          </w:rPr>
          <w:fldChar w:fldCharType="separate"/>
        </w:r>
        <w:r>
          <w:rPr>
            <w:rFonts w:ascii="Palatino Linotype" w:hAnsi="Palatino Linotype"/>
          </w:rPr>
          <w:t>21</w:t>
        </w:r>
        <w:r w:rsidRPr="007D6724">
          <w:rPr>
            <w:rFonts w:ascii="Palatino Linotype" w:hAnsi="Palatino Linotype"/>
            <w:noProof/>
          </w:rPr>
          <w:fldChar w:fldCharType="end"/>
        </w:r>
      </w:p>
    </w:sdtContent>
  </w:sdt>
  <w:p w14:paraId="40BE76E9" w14:textId="2BA2AD52" w:rsidR="00CD5F09" w:rsidRDefault="007D6724">
    <w:pPr>
      <w:pStyle w:val="Footer"/>
      <w:spacing w:before="120"/>
      <w:rPr>
        <w:rFonts w:ascii="Palatino Linotype" w:hAnsi="Palatino Linotype"/>
        <w:sz w:val="20"/>
        <w:szCs w:val="20"/>
        <w:lang w:val="en-GB"/>
      </w:rPr>
    </w:pPr>
    <w:r>
      <w:rPr>
        <w:rFonts w:ascii="Palatino Linotype" w:hAnsi="Palatino Linotype"/>
        <w:sz w:val="20"/>
        <w:szCs w:val="20"/>
        <w:lang w:val="en-GB"/>
      </w:rPr>
      <w:tab/>
    </w:r>
  </w:p>
  <w:p w14:paraId="21EE89AD" w14:textId="77777777" w:rsidR="007D6724" w:rsidRPr="001D0CFE" w:rsidRDefault="007D6724">
    <w:pPr>
      <w:pStyle w:val="Footer"/>
      <w:spacing w:before="120"/>
      <w:rPr>
        <w:rFonts w:ascii="Palatino Linotype" w:hAnsi="Palatino Linotype"/>
        <w:sz w:val="20"/>
        <w:szCs w:val="20"/>
        <w:lang w:val="id-ID"/>
      </w:rPr>
    </w:pPr>
  </w:p>
  <w:p w14:paraId="0F2061E3" w14:textId="77777777" w:rsidR="00CD5F09" w:rsidRPr="001D0CFE" w:rsidRDefault="00CD5F09">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2204E" w14:textId="77777777" w:rsidR="0075056F" w:rsidRDefault="0075056F">
      <w:pPr>
        <w:spacing w:after="0" w:line="240" w:lineRule="auto"/>
      </w:pPr>
      <w:r>
        <w:separator/>
      </w:r>
    </w:p>
  </w:footnote>
  <w:footnote w:type="continuationSeparator" w:id="0">
    <w:p w14:paraId="15C8346C" w14:textId="77777777" w:rsidR="0075056F" w:rsidRDefault="00750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532C" w14:textId="71F511CA" w:rsidR="00CD5F09" w:rsidRPr="001D0CFE" w:rsidRDefault="007D6724" w:rsidP="00852C1F">
    <w:pPr>
      <w:pStyle w:val="Header"/>
      <w:jc w:val="both"/>
      <w:rPr>
        <w:rFonts w:ascii="Palatino Linotype" w:hAnsi="Palatino Linotype"/>
        <w:sz w:val="20"/>
        <w:szCs w:val="20"/>
      </w:rPr>
    </w:pPr>
    <w:r w:rsidRPr="00852C1F">
      <w:rPr>
        <w:rFonts w:ascii="Palatino Linotype" w:hAnsi="Palatino Linotype"/>
        <w:color w:val="7F7F7F"/>
        <w:sz w:val="20"/>
        <w:szCs w:val="20"/>
        <w:lang w:val="en-US"/>
      </w:rPr>
      <w:t xml:space="preserve">Implementation </w:t>
    </w:r>
    <w:r>
      <w:rPr>
        <w:rFonts w:ascii="Palatino Linotype" w:hAnsi="Palatino Linotype"/>
        <w:color w:val="7F7F7F"/>
        <w:sz w:val="20"/>
        <w:szCs w:val="20"/>
        <w:lang w:val="en-US"/>
      </w:rPr>
      <w:t>o</w:t>
    </w:r>
    <w:r w:rsidRPr="00852C1F">
      <w:rPr>
        <w:rFonts w:ascii="Palatino Linotype" w:hAnsi="Palatino Linotype"/>
        <w:color w:val="7F7F7F"/>
        <w:sz w:val="20"/>
        <w:szCs w:val="20"/>
        <w:lang w:val="en-US"/>
      </w:rPr>
      <w:t xml:space="preserve">f The SERVQUAL Method In Evaluating </w:t>
    </w:r>
    <w:r>
      <w:rPr>
        <w:rFonts w:ascii="Palatino Linotype" w:hAnsi="Palatino Linotype"/>
        <w:color w:val="7F7F7F"/>
        <w:sz w:val="20"/>
        <w:szCs w:val="20"/>
        <w:lang w:val="en-US"/>
      </w:rPr>
      <w:t>t</w:t>
    </w:r>
    <w:r w:rsidRPr="00852C1F">
      <w:rPr>
        <w:rFonts w:ascii="Palatino Linotype" w:hAnsi="Palatino Linotype"/>
        <w:color w:val="7F7F7F"/>
        <w:sz w:val="20"/>
        <w:szCs w:val="20"/>
        <w:lang w:val="en-US"/>
      </w:rPr>
      <w:t xml:space="preserve">he Quality </w:t>
    </w:r>
    <w:r>
      <w:rPr>
        <w:rFonts w:ascii="Palatino Linotype" w:hAnsi="Palatino Linotype"/>
        <w:color w:val="7F7F7F"/>
        <w:sz w:val="20"/>
        <w:szCs w:val="20"/>
        <w:lang w:val="en-US"/>
      </w:rPr>
      <w:t>o</w:t>
    </w:r>
    <w:r w:rsidRPr="00852C1F">
      <w:rPr>
        <w:rFonts w:ascii="Palatino Linotype" w:hAnsi="Palatino Linotype"/>
        <w:color w:val="7F7F7F"/>
        <w:sz w:val="20"/>
        <w:szCs w:val="20"/>
        <w:lang w:val="en-US"/>
      </w:rPr>
      <w:t xml:space="preserve">f Welding Inspector Comprehensive Training Services </w:t>
    </w:r>
    <w:r>
      <w:rPr>
        <w:rFonts w:ascii="Palatino Linotype" w:hAnsi="Palatino Linotype"/>
        <w:color w:val="7F7F7F"/>
        <w:sz w:val="20"/>
        <w:szCs w:val="20"/>
        <w:lang w:val="en-US"/>
      </w:rPr>
      <w:t>a</w:t>
    </w:r>
    <w:r w:rsidRPr="00852C1F">
      <w:rPr>
        <w:rFonts w:ascii="Palatino Linotype" w:hAnsi="Palatino Linotype"/>
        <w:color w:val="7F7F7F"/>
        <w:sz w:val="20"/>
        <w:szCs w:val="20"/>
        <w:lang w:val="en-US"/>
      </w:rPr>
      <w:t xml:space="preserve">t </w:t>
    </w:r>
    <w:r>
      <w:rPr>
        <w:rFonts w:ascii="Palatino Linotype" w:hAnsi="Palatino Linotype"/>
        <w:color w:val="7F7F7F"/>
        <w:sz w:val="20"/>
        <w:szCs w:val="20"/>
        <w:lang w:val="en-US"/>
      </w:rPr>
      <w:t>t</w:t>
    </w:r>
    <w:r w:rsidRPr="00852C1F">
      <w:rPr>
        <w:rFonts w:ascii="Palatino Linotype" w:hAnsi="Palatino Linotype"/>
        <w:color w:val="7F7F7F"/>
        <w:sz w:val="20"/>
        <w:szCs w:val="20"/>
        <w:lang w:val="en-US"/>
      </w:rPr>
      <w:t xml:space="preserve">he Shipbuilding Institute </w:t>
    </w:r>
    <w:r>
      <w:rPr>
        <w:rFonts w:ascii="Palatino Linotype" w:hAnsi="Palatino Linotype"/>
        <w:color w:val="7F7F7F"/>
        <w:sz w:val="20"/>
        <w:szCs w:val="20"/>
        <w:lang w:val="en-US"/>
      </w:rPr>
      <w:t>o</w:t>
    </w:r>
    <w:r w:rsidRPr="00852C1F">
      <w:rPr>
        <w:rFonts w:ascii="Palatino Linotype" w:hAnsi="Palatino Linotype"/>
        <w:color w:val="7F7F7F"/>
        <w:sz w:val="20"/>
        <w:szCs w:val="20"/>
        <w:lang w:val="en-US"/>
      </w:rPr>
      <w:t>f Polytechnic Surabaya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E2B65" w14:textId="69A464A7" w:rsidR="00CD5F09" w:rsidRPr="001D3F98" w:rsidRDefault="00CD5F09" w:rsidP="001D0CFE">
    <w:pPr>
      <w:tabs>
        <w:tab w:val="left" w:pos="1701"/>
      </w:tabs>
      <w:snapToGrid w:val="0"/>
      <w:spacing w:before="240" w:after="0"/>
      <w:rPr>
        <w:rFonts w:ascii="Palatino Linotype" w:hAnsi="Palatino Linotype" w:cs="Times New Roman"/>
        <w:color w:val="404040" w:themeColor="text1" w:themeTint="BF"/>
        <w:lang w:val="it-IT"/>
      </w:rPr>
    </w:pPr>
    <w:r>
      <w:rPr>
        <w:rFonts w:ascii="Palatino Linotype" w:hAnsi="Palatino Linotype" w:cs="Times New Roman"/>
        <w:noProof/>
        <w:color w:val="404040" w:themeColor="text1" w:themeTint="BF"/>
        <w14:ligatures w14:val="standardContextual"/>
      </w:rPr>
      <w:drawing>
        <wp:anchor distT="0" distB="0" distL="114300" distR="114300" simplePos="0" relativeHeight="251660288" behindDoc="1" locked="0" layoutInCell="1" allowOverlap="1" wp14:anchorId="70A8BA0C" wp14:editId="0257B114">
          <wp:simplePos x="0" y="0"/>
          <wp:positionH relativeFrom="margin">
            <wp:align>left</wp:align>
          </wp:positionH>
          <wp:positionV relativeFrom="paragraph">
            <wp:posOffset>150495</wp:posOffset>
          </wp:positionV>
          <wp:extent cx="900000" cy="1274400"/>
          <wp:effectExtent l="0" t="0" r="0" b="2540"/>
          <wp:wrapNone/>
          <wp:docPr id="1866719565" name="Picture 186671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issue_4_en_U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0000" cy="1274400"/>
                  </a:xfrm>
                  <a:prstGeom prst="rect">
                    <a:avLst/>
                  </a:prstGeom>
                </pic:spPr>
              </pic:pic>
            </a:graphicData>
          </a:graphic>
          <wp14:sizeRelH relativeFrom="page">
            <wp14:pctWidth>0</wp14:pctWidth>
          </wp14:sizeRelH>
          <wp14:sizeRelV relativeFrom="page">
            <wp14:pctHeight>0</wp14:pctHeight>
          </wp14:sizeRelV>
        </wp:anchor>
      </w:drawing>
    </w:r>
    <w:r>
      <w:rPr>
        <w:rFonts w:ascii="Palatino Linotype" w:hAnsi="Palatino Linotype" w:cs="Times New Roman"/>
        <w:color w:val="404040" w:themeColor="text1" w:themeTint="BF"/>
        <w:lang w:val="it-IT"/>
      </w:rPr>
      <w:tab/>
    </w:r>
    <w:r w:rsidRPr="001D3F98">
      <w:rPr>
        <w:rFonts w:ascii="Palatino Linotype" w:hAnsi="Palatino Linotype" w:cs="Times New Roman"/>
        <w:color w:val="404040" w:themeColor="text1" w:themeTint="BF"/>
        <w:lang w:val="it-IT"/>
      </w:rPr>
      <w:t xml:space="preserve">Jurnal Cakrawala Maritim Volume </w:t>
    </w:r>
    <w:r w:rsidR="007D6724">
      <w:rPr>
        <w:rFonts w:ascii="Palatino Linotype" w:hAnsi="Palatino Linotype" w:cs="Times New Roman"/>
        <w:color w:val="404040" w:themeColor="text1" w:themeTint="BF"/>
        <w:lang w:val="it-IT"/>
      </w:rPr>
      <w:t>9</w:t>
    </w:r>
    <w:r w:rsidRPr="001D3F98">
      <w:rPr>
        <w:rFonts w:ascii="Palatino Linotype" w:hAnsi="Palatino Linotype" w:cs="Times New Roman"/>
        <w:color w:val="404040" w:themeColor="text1" w:themeTint="BF"/>
        <w:lang w:val="it-IT"/>
      </w:rPr>
      <w:t xml:space="preserve"> No </w:t>
    </w:r>
    <w:r w:rsidR="007D6724">
      <w:rPr>
        <w:rFonts w:ascii="Palatino Linotype" w:hAnsi="Palatino Linotype" w:cs="Times New Roman"/>
        <w:color w:val="404040" w:themeColor="text1" w:themeTint="BF"/>
        <w:lang w:val="it-IT"/>
      </w:rPr>
      <w:t>2</w:t>
    </w:r>
    <w:r w:rsidRPr="001D3F98">
      <w:rPr>
        <w:rFonts w:ascii="Palatino Linotype" w:hAnsi="Palatino Linotype" w:cs="Times New Roman"/>
        <w:color w:val="404040" w:themeColor="text1" w:themeTint="BF"/>
        <w:lang w:val="it-IT"/>
      </w:rPr>
      <w:t xml:space="preserve"> Tahun</w:t>
    </w:r>
    <w:r w:rsidR="007D6724">
      <w:rPr>
        <w:rFonts w:ascii="Palatino Linotype" w:hAnsi="Palatino Linotype" w:cs="Times New Roman"/>
        <w:color w:val="404040" w:themeColor="text1" w:themeTint="BF"/>
        <w:lang w:val="it-IT"/>
      </w:rPr>
      <w:t xml:space="preserve"> 2026</w:t>
    </w:r>
  </w:p>
  <w:p w14:paraId="4AF38C52" w14:textId="77777777" w:rsidR="00CD5F09" w:rsidRPr="001D3F98" w:rsidRDefault="00CD5F09" w:rsidP="001D0CFE">
    <w:pPr>
      <w:tabs>
        <w:tab w:val="left" w:pos="1701"/>
        <w:tab w:val="right" w:pos="9244"/>
      </w:tabs>
      <w:spacing w:after="0"/>
      <w:rPr>
        <w:rFonts w:ascii="Palatino Linotype" w:hAnsi="Palatino Linotype" w:cs="Times New Roman"/>
        <w:color w:val="404040" w:themeColor="text1" w:themeTint="BF"/>
        <w:sz w:val="20"/>
        <w:szCs w:val="20"/>
        <w:lang w:val="it-IT"/>
      </w:rPr>
    </w:pPr>
    <w:r>
      <w:rPr>
        <w:rFonts w:ascii="Palatino Linotype" w:hAnsi="Palatino Linotype" w:cs="Times New Roman"/>
        <w:color w:val="404040" w:themeColor="text1" w:themeTint="BF"/>
        <w:sz w:val="20"/>
        <w:szCs w:val="20"/>
        <w:lang w:val="it-IT"/>
      </w:rPr>
      <w:tab/>
    </w:r>
    <w:r w:rsidRPr="001D3F98">
      <w:rPr>
        <w:rFonts w:ascii="Palatino Linotype" w:hAnsi="Palatino Linotype" w:cs="Times New Roman"/>
        <w:color w:val="404040" w:themeColor="text1" w:themeTint="BF"/>
        <w:sz w:val="20"/>
        <w:szCs w:val="20"/>
        <w:lang w:val="it-IT"/>
      </w:rPr>
      <w:t>e-ISSN: 2620-7850 | p-ISSN: 2620-5637</w:t>
    </w:r>
  </w:p>
  <w:p w14:paraId="7C5AFC54" w14:textId="77777777" w:rsidR="00CD5F09" w:rsidRPr="001D3F98" w:rsidRDefault="00CD5F09" w:rsidP="001D0CFE">
    <w:pPr>
      <w:tabs>
        <w:tab w:val="left" w:pos="1701"/>
        <w:tab w:val="right" w:pos="9244"/>
      </w:tabs>
      <w:spacing w:after="0"/>
      <w:rPr>
        <w:rFonts w:ascii="Palatino Linotype" w:hAnsi="Palatino Linotype" w:cs="Times New Roman"/>
        <w:color w:val="7F7F7F"/>
        <w:lang w:val="it-IT"/>
      </w:rPr>
    </w:pPr>
  </w:p>
  <w:p w14:paraId="498F1ADA" w14:textId="77777777" w:rsidR="00CD5F09" w:rsidRPr="001D3F98" w:rsidRDefault="00CD5F09" w:rsidP="001D0CFE">
    <w:pPr>
      <w:tabs>
        <w:tab w:val="left" w:pos="1701"/>
        <w:tab w:val="right" w:pos="9244"/>
      </w:tabs>
      <w:spacing w:after="0"/>
      <w:rPr>
        <w:rFonts w:ascii="Palatino Linotype" w:hAnsi="Palatino Linotype" w:cs="Times New Roman"/>
        <w:b/>
        <w:bCs/>
        <w:color w:val="002060"/>
        <w:sz w:val="32"/>
        <w:szCs w:val="32"/>
        <w:lang w:val="en-ID"/>
      </w:rPr>
    </w:pPr>
    <w:r>
      <w:rPr>
        <w:rFonts w:ascii="Palatino Linotype" w:hAnsi="Palatino Linotype" w:cs="Times New Roman"/>
        <w:b/>
        <w:bCs/>
        <w:color w:val="002060"/>
        <w:sz w:val="32"/>
        <w:szCs w:val="32"/>
        <w:lang w:val="en-ID"/>
      </w:rPr>
      <w:tab/>
    </w:r>
    <w:r w:rsidRPr="001D3F98">
      <w:rPr>
        <w:rFonts w:ascii="Palatino Linotype" w:hAnsi="Palatino Linotype" w:cs="Times New Roman"/>
        <w:b/>
        <w:bCs/>
        <w:color w:val="002060"/>
        <w:sz w:val="32"/>
        <w:szCs w:val="32"/>
        <w:lang w:val="en-ID"/>
      </w:rPr>
      <w:t>Jurnal Cakrawala Maritim</w:t>
    </w:r>
  </w:p>
  <w:p w14:paraId="1205EC3F" w14:textId="77777777" w:rsidR="00CD5F09" w:rsidRPr="001D3F98" w:rsidRDefault="00CD5F09" w:rsidP="001D0CFE">
    <w:pPr>
      <w:tabs>
        <w:tab w:val="left" w:pos="1701"/>
        <w:tab w:val="right" w:pos="9244"/>
      </w:tabs>
      <w:spacing w:after="0" w:line="276" w:lineRule="auto"/>
      <w:ind w:left="142"/>
      <w:rPr>
        <w:rFonts w:ascii="Palatino Linotype" w:hAnsi="Palatino Linotype" w:cs="Times New Roman"/>
        <w:color w:val="7F7F7F"/>
        <w:lang w:val="en-ID"/>
      </w:rPr>
    </w:pPr>
  </w:p>
  <w:p w14:paraId="0844F891" w14:textId="77777777" w:rsidR="00CD5F09" w:rsidRPr="001D3F98" w:rsidRDefault="00CD5F09" w:rsidP="001D0CFE">
    <w:pPr>
      <w:tabs>
        <w:tab w:val="left" w:pos="1701"/>
        <w:tab w:val="right" w:pos="9244"/>
      </w:tabs>
      <w:spacing w:after="0" w:line="276" w:lineRule="auto"/>
      <w:rPr>
        <w:rFonts w:ascii="Palatino Linotype" w:hAnsi="Palatino Linotype"/>
        <w:color w:val="7F7F7F"/>
        <w:sz w:val="28"/>
        <w:szCs w:val="28"/>
        <w:lang w:val="en-ID"/>
      </w:rPr>
    </w:pPr>
    <w:r w:rsidRPr="001D3F98">
      <w:rPr>
        <w:rFonts w:ascii="Palatino Linotype" w:hAnsi="Palatino Linotype"/>
        <w:noProof/>
      </w:rPr>
      <mc:AlternateContent>
        <mc:Choice Requires="wps">
          <w:drawing>
            <wp:anchor distT="9525" distB="9525" distL="635" distR="0" simplePos="0" relativeHeight="251659264" behindDoc="1" locked="0" layoutInCell="1" allowOverlap="1" wp14:anchorId="61AED314" wp14:editId="0AE49C5B">
              <wp:simplePos x="0" y="0"/>
              <wp:positionH relativeFrom="column">
                <wp:posOffset>44450</wp:posOffset>
              </wp:positionH>
              <wp:positionV relativeFrom="paragraph">
                <wp:posOffset>243205</wp:posOffset>
              </wp:positionV>
              <wp:extent cx="5760085" cy="635"/>
              <wp:effectExtent l="635" t="9525" r="0" b="9525"/>
              <wp:wrapNone/>
              <wp:docPr id="4" name="Straight Connector 2"/>
              <wp:cNvGraphicFramePr/>
              <a:graphic xmlns:a="http://schemas.openxmlformats.org/drawingml/2006/main">
                <a:graphicData uri="http://schemas.microsoft.com/office/word/2010/wordprocessingShape">
                  <wps:wsp>
                    <wps:cNvCnPr/>
                    <wps:spPr>
                      <a:xfrm>
                        <a:off x="0" y="0"/>
                        <a:ext cx="5760000" cy="720"/>
                      </a:xfrm>
                      <a:prstGeom prst="line">
                        <a:avLst/>
                      </a:prstGeom>
                      <a:ln w="1905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8FEFF29" id="Straight Connector 2" o:spid="_x0000_s1026" style="position:absolute;z-index:-251657216;visibility:visible;mso-wrap-style:square;mso-wrap-distance-left:.05pt;mso-wrap-distance-top:.75pt;mso-wrap-distance-right:0;mso-wrap-distance-bottom:.75pt;mso-position-horizontal:absolute;mso-position-horizontal-relative:text;mso-position-vertical:absolute;mso-position-vertical-relative:text" from="3.5pt,19.15pt" to="457.0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" strokeweight="1.5pt">
              <v:stroke joinstyle="miter"/>
            </v:line>
          </w:pict>
        </mc:Fallback>
      </mc:AlternateContent>
    </w:r>
    <w:r>
      <w:rPr>
        <w:rFonts w:ascii="Palatino Linotype" w:hAnsi="Palatino Linotype" w:cs="Times New Roman"/>
        <w:color w:val="7F7F7F"/>
        <w:lang w:val="en-ID"/>
      </w:rPr>
      <w:tab/>
    </w:r>
    <w:r w:rsidRPr="001D3F98">
      <w:rPr>
        <w:rFonts w:ascii="Palatino Linotype" w:hAnsi="Palatino Linotype" w:cs="Times New Roman"/>
        <w:color w:val="7F7F7F"/>
        <w:lang w:val="en-ID"/>
      </w:rPr>
      <w:t>http://jcm.ppns.ac.id</w:t>
    </w:r>
  </w:p>
  <w:p w14:paraId="590097AF" w14:textId="77777777" w:rsidR="00CD5F09" w:rsidRPr="001D3F98" w:rsidRDefault="00CD5F09" w:rsidP="001D0CFE">
    <w:pPr>
      <w:pStyle w:val="Header"/>
      <w:rPr>
        <w:rFonts w:ascii="Palatino Linotype" w:hAnsi="Palatino Linoty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270C9"/>
    <w:multiLevelType w:val="multilevel"/>
    <w:tmpl w:val="8040974A"/>
    <w:lvl w:ilvl="0">
      <w:start w:val="3"/>
      <w:numFmt w:val="decimal"/>
      <w:lvlText w:val="%1."/>
      <w:lvlJc w:val="left"/>
      <w:pPr>
        <w:ind w:left="380" w:hanging="380"/>
      </w:pPr>
      <w:rPr>
        <w:rFonts w:hint="default"/>
        <w:b/>
      </w:rPr>
    </w:lvl>
    <w:lvl w:ilvl="1">
      <w:start w:val="1"/>
      <w:numFmt w:val="decimal"/>
      <w:lvlText w:val="%1.%2."/>
      <w:lvlJc w:val="left"/>
      <w:pPr>
        <w:ind w:left="760" w:hanging="38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1" w15:restartNumberingAfterBreak="0">
    <w:nsid w:val="137B0604"/>
    <w:multiLevelType w:val="multilevel"/>
    <w:tmpl w:val="BE1AA0BE"/>
    <w:lvl w:ilvl="0">
      <w:start w:val="1"/>
      <w:numFmt w:val="decimal"/>
      <w:lvlText w:val="%1."/>
      <w:lvlJc w:val="left"/>
      <w:pPr>
        <w:ind w:left="1168" w:hanging="360"/>
      </w:pPr>
    </w:lvl>
    <w:lvl w:ilvl="1">
      <w:start w:val="2"/>
      <w:numFmt w:val="decimal"/>
      <w:isLgl/>
      <w:lvlText w:val="%1.%2."/>
      <w:lvlJc w:val="left"/>
      <w:pPr>
        <w:ind w:left="1229" w:hanging="421"/>
      </w:pPr>
      <w:rPr>
        <w:rFonts w:hint="default"/>
      </w:rPr>
    </w:lvl>
    <w:lvl w:ilvl="2">
      <w:start w:val="1"/>
      <w:numFmt w:val="decimal"/>
      <w:isLgl/>
      <w:lvlText w:val="%1.%2.%3."/>
      <w:lvlJc w:val="left"/>
      <w:pPr>
        <w:ind w:left="1528" w:hanging="720"/>
      </w:pPr>
      <w:rPr>
        <w:rFonts w:hint="default"/>
      </w:rPr>
    </w:lvl>
    <w:lvl w:ilvl="3">
      <w:start w:val="1"/>
      <w:numFmt w:val="decimal"/>
      <w:isLgl/>
      <w:lvlText w:val="%1.%2.%3.%4."/>
      <w:lvlJc w:val="left"/>
      <w:pPr>
        <w:ind w:left="1528" w:hanging="720"/>
      </w:pPr>
      <w:rPr>
        <w:rFonts w:hint="default"/>
      </w:rPr>
    </w:lvl>
    <w:lvl w:ilvl="4">
      <w:start w:val="1"/>
      <w:numFmt w:val="decimal"/>
      <w:isLgl/>
      <w:lvlText w:val="%1.%2.%3.%4.%5."/>
      <w:lvlJc w:val="left"/>
      <w:pPr>
        <w:ind w:left="1888" w:hanging="1080"/>
      </w:pPr>
      <w:rPr>
        <w:rFonts w:hint="default"/>
      </w:rPr>
    </w:lvl>
    <w:lvl w:ilvl="5">
      <w:start w:val="1"/>
      <w:numFmt w:val="decimal"/>
      <w:isLgl/>
      <w:lvlText w:val="%1.%2.%3.%4.%5.%6."/>
      <w:lvlJc w:val="left"/>
      <w:pPr>
        <w:ind w:left="1888" w:hanging="1080"/>
      </w:pPr>
      <w:rPr>
        <w:rFonts w:hint="default"/>
      </w:rPr>
    </w:lvl>
    <w:lvl w:ilvl="6">
      <w:start w:val="1"/>
      <w:numFmt w:val="decimal"/>
      <w:isLgl/>
      <w:lvlText w:val="%1.%2.%3.%4.%5.%6.%7."/>
      <w:lvlJc w:val="left"/>
      <w:pPr>
        <w:ind w:left="2248" w:hanging="1440"/>
      </w:pPr>
      <w:rPr>
        <w:rFonts w:hint="default"/>
      </w:rPr>
    </w:lvl>
    <w:lvl w:ilvl="7">
      <w:start w:val="1"/>
      <w:numFmt w:val="decimal"/>
      <w:isLgl/>
      <w:lvlText w:val="%1.%2.%3.%4.%5.%6.%7.%8."/>
      <w:lvlJc w:val="left"/>
      <w:pPr>
        <w:ind w:left="2248" w:hanging="1440"/>
      </w:pPr>
      <w:rPr>
        <w:rFonts w:hint="default"/>
      </w:rPr>
    </w:lvl>
    <w:lvl w:ilvl="8">
      <w:start w:val="1"/>
      <w:numFmt w:val="decimal"/>
      <w:isLgl/>
      <w:lvlText w:val="%1.%2.%3.%4.%5.%6.%7.%8.%9."/>
      <w:lvlJc w:val="left"/>
      <w:pPr>
        <w:ind w:left="2608" w:hanging="1800"/>
      </w:pPr>
      <w:rPr>
        <w:rFonts w:hint="default"/>
      </w:rPr>
    </w:lvl>
  </w:abstractNum>
  <w:abstractNum w:abstractNumId="2" w15:restartNumberingAfterBreak="0">
    <w:nsid w:val="149B3E8E"/>
    <w:multiLevelType w:val="multilevel"/>
    <w:tmpl w:val="A5D42B7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178750C"/>
    <w:multiLevelType w:val="hybridMultilevel"/>
    <w:tmpl w:val="5E9630A2"/>
    <w:lvl w:ilvl="0" w:tplc="0F080878">
      <w:start w:val="4"/>
      <w:numFmt w:val="bullet"/>
      <w:lvlText w:val=""/>
      <w:lvlJc w:val="left"/>
      <w:pPr>
        <w:ind w:left="720" w:hanging="360"/>
      </w:pPr>
      <w:rPr>
        <w:rFonts w:ascii="Wingdings" w:eastAsia="Cambr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C6B30"/>
    <w:multiLevelType w:val="multilevel"/>
    <w:tmpl w:val="8040974A"/>
    <w:lvl w:ilvl="0">
      <w:start w:val="3"/>
      <w:numFmt w:val="decimal"/>
      <w:lvlText w:val="%1."/>
      <w:lvlJc w:val="left"/>
      <w:pPr>
        <w:ind w:left="380" w:hanging="380"/>
      </w:pPr>
      <w:rPr>
        <w:rFonts w:hint="default"/>
        <w:b/>
      </w:rPr>
    </w:lvl>
    <w:lvl w:ilvl="1">
      <w:start w:val="1"/>
      <w:numFmt w:val="decimal"/>
      <w:lvlText w:val="%1.%2."/>
      <w:lvlJc w:val="left"/>
      <w:pPr>
        <w:ind w:left="760" w:hanging="38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5" w15:restartNumberingAfterBreak="0">
    <w:nsid w:val="4E59634D"/>
    <w:multiLevelType w:val="multilevel"/>
    <w:tmpl w:val="82B6E5C0"/>
    <w:lvl w:ilvl="0">
      <w:start w:val="2"/>
      <w:numFmt w:val="decimal"/>
      <w:lvlText w:val="%1."/>
      <w:lvlJc w:val="left"/>
      <w:pPr>
        <w:ind w:left="380" w:hanging="380"/>
      </w:pPr>
      <w:rPr>
        <w:rFonts w:hint="default"/>
      </w:rPr>
    </w:lvl>
    <w:lvl w:ilvl="1">
      <w:start w:val="1"/>
      <w:numFmt w:val="decimal"/>
      <w:lvlText w:val="%1.%2."/>
      <w:lvlJc w:val="left"/>
      <w:pPr>
        <w:ind w:left="1548" w:hanging="380"/>
      </w:pPr>
      <w:rPr>
        <w:rFonts w:hint="default"/>
      </w:rPr>
    </w:lvl>
    <w:lvl w:ilvl="2">
      <w:start w:val="1"/>
      <w:numFmt w:val="decimal"/>
      <w:lvlText w:val="%1.%2.%3."/>
      <w:lvlJc w:val="left"/>
      <w:pPr>
        <w:ind w:left="3056" w:hanging="720"/>
      </w:pPr>
      <w:rPr>
        <w:rFonts w:hint="default"/>
      </w:rPr>
    </w:lvl>
    <w:lvl w:ilvl="3">
      <w:start w:val="1"/>
      <w:numFmt w:val="decimal"/>
      <w:lvlText w:val="%1.%2.%3.%4."/>
      <w:lvlJc w:val="left"/>
      <w:pPr>
        <w:ind w:left="4224" w:hanging="720"/>
      </w:pPr>
      <w:rPr>
        <w:rFonts w:hint="default"/>
      </w:rPr>
    </w:lvl>
    <w:lvl w:ilvl="4">
      <w:start w:val="1"/>
      <w:numFmt w:val="decimal"/>
      <w:lvlText w:val="%1.%2.%3.%4.%5."/>
      <w:lvlJc w:val="left"/>
      <w:pPr>
        <w:ind w:left="5752" w:hanging="1080"/>
      </w:pPr>
      <w:rPr>
        <w:rFonts w:hint="default"/>
      </w:rPr>
    </w:lvl>
    <w:lvl w:ilvl="5">
      <w:start w:val="1"/>
      <w:numFmt w:val="decimal"/>
      <w:lvlText w:val="%1.%2.%3.%4.%5.%6."/>
      <w:lvlJc w:val="left"/>
      <w:pPr>
        <w:ind w:left="6920" w:hanging="1080"/>
      </w:pPr>
      <w:rPr>
        <w:rFonts w:hint="default"/>
      </w:rPr>
    </w:lvl>
    <w:lvl w:ilvl="6">
      <w:start w:val="1"/>
      <w:numFmt w:val="decimal"/>
      <w:lvlText w:val="%1.%2.%3.%4.%5.%6.%7."/>
      <w:lvlJc w:val="left"/>
      <w:pPr>
        <w:ind w:left="8448" w:hanging="1440"/>
      </w:pPr>
      <w:rPr>
        <w:rFonts w:hint="default"/>
      </w:rPr>
    </w:lvl>
    <w:lvl w:ilvl="7">
      <w:start w:val="1"/>
      <w:numFmt w:val="decimal"/>
      <w:lvlText w:val="%1.%2.%3.%4.%5.%6.%7.%8."/>
      <w:lvlJc w:val="left"/>
      <w:pPr>
        <w:ind w:left="9616" w:hanging="1440"/>
      </w:pPr>
      <w:rPr>
        <w:rFonts w:hint="default"/>
      </w:rPr>
    </w:lvl>
    <w:lvl w:ilvl="8">
      <w:start w:val="1"/>
      <w:numFmt w:val="decimal"/>
      <w:lvlText w:val="%1.%2.%3.%4.%5.%6.%7.%8.%9."/>
      <w:lvlJc w:val="left"/>
      <w:pPr>
        <w:ind w:left="11144" w:hanging="1800"/>
      </w:pPr>
      <w:rPr>
        <w:rFonts w:hint="default"/>
      </w:rPr>
    </w:lvl>
  </w:abstractNum>
  <w:abstractNum w:abstractNumId="6" w15:restartNumberingAfterBreak="0">
    <w:nsid w:val="718F4230"/>
    <w:multiLevelType w:val="hybridMultilevel"/>
    <w:tmpl w:val="2EEA3C98"/>
    <w:lvl w:ilvl="0" w:tplc="36F01522">
      <w:start w:val="4"/>
      <w:numFmt w:val="bullet"/>
      <w:lvlText w:val=""/>
      <w:lvlJc w:val="left"/>
      <w:pPr>
        <w:ind w:left="720" w:hanging="360"/>
      </w:pPr>
      <w:rPr>
        <w:rFonts w:ascii="Wingdings" w:eastAsia="Cambr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3B65B2"/>
    <w:multiLevelType w:val="hybridMultilevel"/>
    <w:tmpl w:val="A5D42B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A41233"/>
    <w:multiLevelType w:val="hybridMultilevel"/>
    <w:tmpl w:val="FF8066C4"/>
    <w:lvl w:ilvl="0" w:tplc="D97AD398">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58868745">
    <w:abstractNumId w:val="8"/>
  </w:num>
  <w:num w:numId="2" w16cid:durableId="941961005">
    <w:abstractNumId w:val="1"/>
  </w:num>
  <w:num w:numId="3" w16cid:durableId="808090081">
    <w:abstractNumId w:val="5"/>
  </w:num>
  <w:num w:numId="4" w16cid:durableId="385687907">
    <w:abstractNumId w:val="4"/>
  </w:num>
  <w:num w:numId="5" w16cid:durableId="443768590">
    <w:abstractNumId w:val="7"/>
  </w:num>
  <w:num w:numId="6" w16cid:durableId="864056224">
    <w:abstractNumId w:val="2"/>
  </w:num>
  <w:num w:numId="7" w16cid:durableId="2104295725">
    <w:abstractNumId w:val="0"/>
  </w:num>
  <w:num w:numId="8" w16cid:durableId="252709308">
    <w:abstractNumId w:val="6"/>
  </w:num>
  <w:num w:numId="9" w16cid:durableId="1121924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20"/>
    <w:rsid w:val="0001740A"/>
    <w:rsid w:val="000678FA"/>
    <w:rsid w:val="0009053D"/>
    <w:rsid w:val="00170BC7"/>
    <w:rsid w:val="001C3BB4"/>
    <w:rsid w:val="001C3E1B"/>
    <w:rsid w:val="001D0CFE"/>
    <w:rsid w:val="001D3F98"/>
    <w:rsid w:val="00227A19"/>
    <w:rsid w:val="00260B4F"/>
    <w:rsid w:val="00263A24"/>
    <w:rsid w:val="002F3D5E"/>
    <w:rsid w:val="0034160E"/>
    <w:rsid w:val="0037040C"/>
    <w:rsid w:val="0038284B"/>
    <w:rsid w:val="004141DA"/>
    <w:rsid w:val="00452DBC"/>
    <w:rsid w:val="005608A2"/>
    <w:rsid w:val="00566606"/>
    <w:rsid w:val="005746DD"/>
    <w:rsid w:val="005B4D2A"/>
    <w:rsid w:val="005C4AC0"/>
    <w:rsid w:val="005E4EF3"/>
    <w:rsid w:val="005F0355"/>
    <w:rsid w:val="005F7F6D"/>
    <w:rsid w:val="00637F05"/>
    <w:rsid w:val="006D09B4"/>
    <w:rsid w:val="0075056F"/>
    <w:rsid w:val="007D6724"/>
    <w:rsid w:val="007E06BF"/>
    <w:rsid w:val="008022AC"/>
    <w:rsid w:val="0081461A"/>
    <w:rsid w:val="00852C1F"/>
    <w:rsid w:val="008A174C"/>
    <w:rsid w:val="008A5BC2"/>
    <w:rsid w:val="008D5286"/>
    <w:rsid w:val="00917760"/>
    <w:rsid w:val="00922C39"/>
    <w:rsid w:val="00937A13"/>
    <w:rsid w:val="0097009D"/>
    <w:rsid w:val="009B2C73"/>
    <w:rsid w:val="009B5C9F"/>
    <w:rsid w:val="009C3147"/>
    <w:rsid w:val="009D2118"/>
    <w:rsid w:val="009E2E9C"/>
    <w:rsid w:val="009E78E2"/>
    <w:rsid w:val="00A629D5"/>
    <w:rsid w:val="00AF6C84"/>
    <w:rsid w:val="00B0645E"/>
    <w:rsid w:val="00B63302"/>
    <w:rsid w:val="00B90E7E"/>
    <w:rsid w:val="00BA6E41"/>
    <w:rsid w:val="00BF200B"/>
    <w:rsid w:val="00C20EF5"/>
    <w:rsid w:val="00C2585E"/>
    <w:rsid w:val="00C3156D"/>
    <w:rsid w:val="00C632B1"/>
    <w:rsid w:val="00CB3856"/>
    <w:rsid w:val="00CB5F4C"/>
    <w:rsid w:val="00CD5F09"/>
    <w:rsid w:val="00CE322F"/>
    <w:rsid w:val="00CE623C"/>
    <w:rsid w:val="00D354C6"/>
    <w:rsid w:val="00D558DB"/>
    <w:rsid w:val="00D60C49"/>
    <w:rsid w:val="00DD43F7"/>
    <w:rsid w:val="00DF3020"/>
    <w:rsid w:val="00E05D5C"/>
    <w:rsid w:val="00E07265"/>
    <w:rsid w:val="00E20E5B"/>
    <w:rsid w:val="00E7349D"/>
    <w:rsid w:val="00E74C18"/>
    <w:rsid w:val="00E769A5"/>
    <w:rsid w:val="00EA4FDE"/>
    <w:rsid w:val="00EB46A1"/>
    <w:rsid w:val="00EE269A"/>
    <w:rsid w:val="00EE2E88"/>
    <w:rsid w:val="00EF23D8"/>
    <w:rsid w:val="00EF47AF"/>
    <w:rsid w:val="00F02A07"/>
    <w:rsid w:val="00F830D5"/>
    <w:rsid w:val="00FA4C98"/>
    <w:rsid w:val="00FE389B"/>
    <w:rsid w:val="00FF29F8"/>
  </w:rsids>
  <m:mathPr>
    <m:mathFont m:val="Cambria Math"/>
    <m:brkBin m:val="before"/>
    <m:brkBinSub m:val="--"/>
    <m:smallFrac m:val="0"/>
    <m:dispDef/>
    <m:lMargin m:val="0"/>
    <m:rMargin m:val="0"/>
    <m:defJc m:val="centerGroup"/>
    <m:wrapIndent m:val="1440"/>
    <m:intLim m:val="subSup"/>
    <m:naryLim m:val="undOvr"/>
  </m:mathPr>
  <w:themeFontLang w:val="en-ID"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8B145"/>
  <w15:docId w15:val="{FD2E6253-3E75-4B0E-B633-11DC7634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7B8"/>
    <w:pPr>
      <w:spacing w:after="160" w:line="259" w:lineRule="auto"/>
    </w:pPr>
    <w:rPr>
      <w:rFonts w:ascii="Calibri" w:eastAsia="Calibri" w:hAnsi="Calibri"/>
      <w:kern w:val="0"/>
      <w:lang w:val="en-US"/>
      <w14:ligatures w14:val="none"/>
    </w:rPr>
  </w:style>
  <w:style w:type="paragraph" w:styleId="Heading1">
    <w:name w:val="heading 1"/>
    <w:basedOn w:val="Normal"/>
    <w:next w:val="Normal"/>
    <w:link w:val="Heading1Char"/>
    <w:uiPriority w:val="9"/>
    <w:qFormat/>
    <w:rsid w:val="009E2E9C"/>
    <w:pPr>
      <w:keepNext/>
      <w:keepLines/>
      <w:suppressAutoHyphens w:val="0"/>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607B8"/>
  </w:style>
  <w:style w:type="character" w:customStyle="1" w:styleId="FooterChar">
    <w:name w:val="Footer Char"/>
    <w:basedOn w:val="DefaultParagraphFont"/>
    <w:link w:val="Footer"/>
    <w:uiPriority w:val="99"/>
    <w:qFormat/>
    <w:rsid w:val="006607B8"/>
  </w:style>
  <w:style w:type="character" w:styleId="Hyperlink">
    <w:name w:val="Hyperlink"/>
    <w:basedOn w:val="DefaultParagraphFont"/>
    <w:uiPriority w:val="99"/>
    <w:unhideWhenUsed/>
    <w:rsid w:val="006607B8"/>
    <w:rPr>
      <w:color w:val="0563C1" w:themeColor="hyperlink"/>
      <w:u w:val="single"/>
    </w:rPr>
  </w:style>
  <w:style w:type="character" w:customStyle="1" w:styleId="UnresolvedMention1">
    <w:name w:val="Unresolved Mention1"/>
    <w:basedOn w:val="DefaultParagraphFont"/>
    <w:uiPriority w:val="99"/>
    <w:semiHidden/>
    <w:unhideWhenUsed/>
    <w:qFormat/>
    <w:rsid w:val="006607B8"/>
    <w:rPr>
      <w:color w:val="605E5C"/>
      <w:shd w:val="clear" w:color="auto" w:fill="E1DFDD"/>
    </w:rPr>
  </w:style>
  <w:style w:type="character" w:customStyle="1" w:styleId="TEXTsChar">
    <w:name w:val="TEXTs Char"/>
    <w:basedOn w:val="DefaultParagraphFont"/>
    <w:link w:val="TEXTs"/>
    <w:uiPriority w:val="1"/>
    <w:qFormat/>
    <w:rsid w:val="006607B8"/>
    <w:rPr>
      <w:rFonts w:eastAsia="SimSun"/>
      <w:kern w:val="0"/>
      <w:lang w:val="en-US"/>
      <w14:ligatures w14:val="none"/>
    </w:rPr>
  </w:style>
  <w:style w:type="character" w:customStyle="1" w:styleId="EndnoteTextChar">
    <w:name w:val="Endnote Text Char"/>
    <w:basedOn w:val="DefaultParagraphFont"/>
    <w:link w:val="EndnoteText"/>
    <w:qFormat/>
    <w:rsid w:val="000E3C28"/>
    <w:rPr>
      <w:rFonts w:ascii="Times New Roman" w:eastAsia="MS Mincho" w:hAnsi="Times New Roman" w:cs="Times New Roman"/>
      <w:kern w:val="0"/>
      <w:sz w:val="20"/>
      <w:szCs w:val="20"/>
      <w:lang w:val="en-GB" w:eastAsia="de-DE"/>
      <w14:ligatures w14:val="none"/>
    </w:rPr>
  </w:style>
  <w:style w:type="paragraph" w:customStyle="1" w:styleId="Heading">
    <w:name w:val="Heading"/>
    <w:basedOn w:val="Normal"/>
    <w:next w:val="BodyText"/>
    <w:qFormat/>
    <w:pPr>
      <w:keepNext/>
      <w:spacing w:before="240" w:after="120"/>
    </w:pPr>
    <w:rPr>
      <w:rFonts w:ascii="Times New Roman" w:eastAsia="PingFang SC" w:hAnsi="Times New Roman"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Arial Unicode MS"/>
    </w:rPr>
  </w:style>
  <w:style w:type="paragraph" w:styleId="Caption">
    <w:name w:val="caption"/>
    <w:basedOn w:val="Normal"/>
    <w:qFormat/>
    <w:pPr>
      <w:suppressLineNumbers/>
      <w:spacing w:before="120" w:after="120"/>
    </w:pPr>
    <w:rPr>
      <w:rFonts w:ascii="Times New Roman" w:hAnsi="Times New Roman" w:cs="Arial Unicode MS"/>
      <w:i/>
      <w:iCs/>
      <w:sz w:val="24"/>
      <w:szCs w:val="24"/>
    </w:rPr>
  </w:style>
  <w:style w:type="paragraph" w:customStyle="1" w:styleId="Index">
    <w:name w:val="Index"/>
    <w:basedOn w:val="Normal"/>
    <w:qFormat/>
    <w:pPr>
      <w:suppressLineNumbers/>
    </w:pPr>
    <w:rPr>
      <w:rFonts w:ascii="Times New Roman" w:hAnsi="Times New Roman" w:cs="Arial Unicode M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607B8"/>
    <w:pPr>
      <w:tabs>
        <w:tab w:val="center" w:pos="4513"/>
        <w:tab w:val="right" w:pos="9026"/>
      </w:tabs>
      <w:spacing w:after="0" w:line="240" w:lineRule="auto"/>
    </w:pPr>
    <w:rPr>
      <w:kern w:val="2"/>
      <w:lang w:val="en-ID"/>
      <w14:ligatures w14:val="standardContextual"/>
    </w:rPr>
  </w:style>
  <w:style w:type="paragraph" w:styleId="Footer">
    <w:name w:val="footer"/>
    <w:basedOn w:val="Normal"/>
    <w:link w:val="FooterChar"/>
    <w:uiPriority w:val="99"/>
    <w:unhideWhenUsed/>
    <w:qFormat/>
    <w:rsid w:val="006607B8"/>
    <w:pPr>
      <w:tabs>
        <w:tab w:val="center" w:pos="4513"/>
        <w:tab w:val="right" w:pos="9026"/>
      </w:tabs>
      <w:spacing w:after="0" w:line="240" w:lineRule="auto"/>
    </w:pPr>
    <w:rPr>
      <w:kern w:val="2"/>
      <w:lang w:val="en-ID"/>
      <w14:ligatures w14:val="standardContextual"/>
    </w:rPr>
  </w:style>
  <w:style w:type="paragraph" w:customStyle="1" w:styleId="TitleDERJournal">
    <w:name w:val="Title DER Journal"/>
    <w:qFormat/>
    <w:rsid w:val="006607B8"/>
    <w:pPr>
      <w:spacing w:before="1600" w:line="280" w:lineRule="atLeast"/>
      <w:jc w:val="center"/>
    </w:pPr>
    <w:rPr>
      <w:rFonts w:ascii="Times New Roman" w:eastAsia="MS Mincho" w:hAnsi="Times New Roman" w:cs="Times New Roman"/>
      <w:b/>
      <w:caps/>
      <w:kern w:val="0"/>
      <w:sz w:val="28"/>
      <w:szCs w:val="24"/>
      <w:lang w:val="en-GB" w:eastAsia="de-DE"/>
      <w14:ligatures w14:val="none"/>
    </w:rPr>
  </w:style>
  <w:style w:type="paragraph" w:customStyle="1" w:styleId="AbstracttitleDERJournal">
    <w:name w:val="Abstract title DER Journal"/>
    <w:basedOn w:val="Normal"/>
    <w:uiPriority w:val="1"/>
    <w:qFormat/>
    <w:rsid w:val="006607B8"/>
    <w:pPr>
      <w:spacing w:before="360" w:after="120"/>
    </w:pPr>
    <w:rPr>
      <w:b/>
      <w:bCs/>
      <w:lang w:val="de-DE" w:eastAsia="de-DE"/>
    </w:rPr>
  </w:style>
  <w:style w:type="paragraph" w:customStyle="1" w:styleId="TEXTs">
    <w:name w:val="TEXTs"/>
    <w:basedOn w:val="Normal"/>
    <w:link w:val="TEXTsChar"/>
    <w:uiPriority w:val="1"/>
    <w:qFormat/>
    <w:rsid w:val="006607B8"/>
    <w:pPr>
      <w:spacing w:after="120" w:line="228" w:lineRule="auto"/>
      <w:ind w:firstLine="288"/>
      <w:jc w:val="both"/>
    </w:pPr>
    <w:rPr>
      <w:rFonts w:eastAsia="SimSun"/>
    </w:rPr>
  </w:style>
  <w:style w:type="paragraph" w:styleId="EndnoteText">
    <w:name w:val="endnote text"/>
    <w:basedOn w:val="Normal"/>
    <w:link w:val="EndnoteTextChar"/>
    <w:rsid w:val="000E3C28"/>
    <w:pPr>
      <w:spacing w:after="0" w:line="240" w:lineRule="auto"/>
      <w:jc w:val="both"/>
    </w:pPr>
    <w:rPr>
      <w:rFonts w:ascii="Times New Roman" w:eastAsia="MS Mincho" w:hAnsi="Times New Roman" w:cs="Times New Roman"/>
      <w:sz w:val="20"/>
      <w:szCs w:val="20"/>
      <w:lang w:val="en-GB" w:eastAsia="de-DE"/>
    </w:rPr>
  </w:style>
  <w:style w:type="paragraph" w:customStyle="1" w:styleId="FrameContents">
    <w:name w:val="Frame Contents"/>
    <w:basedOn w:val="Normal"/>
    <w:qFormat/>
    <w:rsid w:val="00250E73"/>
    <w:pPr>
      <w:spacing w:after="120" w:line="240" w:lineRule="auto"/>
      <w:jc w:val="both"/>
    </w:pPr>
    <w:rPr>
      <w:rFonts w:ascii="Times New Roman" w:eastAsia="MS Mincho" w:hAnsi="Times New Roman" w:cs="Times New Roman"/>
      <w:szCs w:val="24"/>
      <w:lang w:val="en-GB" w:eastAsia="de-DE"/>
    </w:rPr>
  </w:style>
  <w:style w:type="paragraph" w:customStyle="1" w:styleId="Bibliography1">
    <w:name w:val="Bibliography 1"/>
    <w:basedOn w:val="Index"/>
    <w:qFormat/>
    <w:pPr>
      <w:spacing w:after="0" w:line="480" w:lineRule="atLeast"/>
      <w:ind w:left="720" w:hanging="720"/>
    </w:pPr>
  </w:style>
  <w:style w:type="table" w:styleId="TableGrid">
    <w:name w:val="Table Grid"/>
    <w:basedOn w:val="TableNormal"/>
    <w:uiPriority w:val="39"/>
    <w:rsid w:val="00860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0CFE"/>
    <w:pPr>
      <w:ind w:left="720"/>
      <w:contextualSpacing/>
    </w:pPr>
  </w:style>
  <w:style w:type="paragraph" w:styleId="BalloonText">
    <w:name w:val="Balloon Text"/>
    <w:basedOn w:val="Normal"/>
    <w:link w:val="BalloonTextChar"/>
    <w:uiPriority w:val="99"/>
    <w:semiHidden/>
    <w:unhideWhenUsed/>
    <w:rsid w:val="00EE2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E88"/>
    <w:rPr>
      <w:rFonts w:ascii="Tahoma" w:eastAsia="Calibri" w:hAnsi="Tahoma" w:cs="Tahoma"/>
      <w:kern w:val="0"/>
      <w:sz w:val="16"/>
      <w:szCs w:val="16"/>
      <w:lang w:val="en-US"/>
      <w14:ligatures w14:val="none"/>
    </w:rPr>
  </w:style>
  <w:style w:type="character" w:styleId="PlaceholderText">
    <w:name w:val="Placeholder Text"/>
    <w:basedOn w:val="DefaultParagraphFont"/>
    <w:uiPriority w:val="99"/>
    <w:semiHidden/>
    <w:rsid w:val="001C3BB4"/>
    <w:rPr>
      <w:color w:val="808080"/>
    </w:rPr>
  </w:style>
  <w:style w:type="character" w:customStyle="1" w:styleId="mord">
    <w:name w:val="mord"/>
    <w:basedOn w:val="DefaultParagraphFont"/>
    <w:rsid w:val="00F02A07"/>
  </w:style>
  <w:style w:type="character" w:customStyle="1" w:styleId="vlist-s">
    <w:name w:val="vlist-s"/>
    <w:basedOn w:val="DefaultParagraphFont"/>
    <w:rsid w:val="00F02A07"/>
  </w:style>
  <w:style w:type="character" w:customStyle="1" w:styleId="mrel">
    <w:name w:val="mrel"/>
    <w:basedOn w:val="DefaultParagraphFont"/>
    <w:rsid w:val="00F02A07"/>
  </w:style>
  <w:style w:type="character" w:customStyle="1" w:styleId="mbin">
    <w:name w:val="mbin"/>
    <w:basedOn w:val="DefaultParagraphFont"/>
    <w:rsid w:val="00F02A07"/>
  </w:style>
  <w:style w:type="character" w:styleId="Emphasis">
    <w:name w:val="Emphasis"/>
    <w:basedOn w:val="DefaultParagraphFont"/>
    <w:uiPriority w:val="20"/>
    <w:qFormat/>
    <w:rsid w:val="00452DBC"/>
    <w:rPr>
      <w:i/>
      <w:iCs/>
    </w:rPr>
  </w:style>
  <w:style w:type="character" w:customStyle="1" w:styleId="Heading1Char">
    <w:name w:val="Heading 1 Char"/>
    <w:basedOn w:val="DefaultParagraphFont"/>
    <w:link w:val="Heading1"/>
    <w:uiPriority w:val="9"/>
    <w:rsid w:val="009E2E9C"/>
    <w:rPr>
      <w:rFonts w:asciiTheme="majorHAnsi" w:eastAsiaTheme="majorEastAsia" w:hAnsiTheme="majorHAnsi" w:cstheme="majorBidi"/>
      <w:color w:val="2F5496" w:themeColor="accent1" w:themeShade="BF"/>
      <w:kern w:val="0"/>
      <w:sz w:val="32"/>
      <w:szCs w:val="32"/>
      <w:lang w:val="en-US"/>
      <w14:ligatures w14:val="none"/>
    </w:rPr>
  </w:style>
  <w:style w:type="paragraph" w:styleId="Bibliography">
    <w:name w:val="Bibliography"/>
    <w:basedOn w:val="Normal"/>
    <w:next w:val="Normal"/>
    <w:uiPriority w:val="37"/>
    <w:unhideWhenUsed/>
    <w:rsid w:val="009E2E9C"/>
  </w:style>
  <w:style w:type="character" w:styleId="UnresolvedMention">
    <w:name w:val="Unresolved Mention"/>
    <w:basedOn w:val="DefaultParagraphFont"/>
    <w:uiPriority w:val="99"/>
    <w:semiHidden/>
    <w:unhideWhenUsed/>
    <w:rsid w:val="007D6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516">
      <w:bodyDiv w:val="1"/>
      <w:marLeft w:val="0"/>
      <w:marRight w:val="0"/>
      <w:marTop w:val="0"/>
      <w:marBottom w:val="0"/>
      <w:divBdr>
        <w:top w:val="none" w:sz="0" w:space="0" w:color="auto"/>
        <w:left w:val="none" w:sz="0" w:space="0" w:color="auto"/>
        <w:bottom w:val="none" w:sz="0" w:space="0" w:color="auto"/>
        <w:right w:val="none" w:sz="0" w:space="0" w:color="auto"/>
      </w:divBdr>
    </w:div>
    <w:div w:id="56973144">
      <w:bodyDiv w:val="1"/>
      <w:marLeft w:val="0"/>
      <w:marRight w:val="0"/>
      <w:marTop w:val="0"/>
      <w:marBottom w:val="0"/>
      <w:divBdr>
        <w:top w:val="none" w:sz="0" w:space="0" w:color="auto"/>
        <w:left w:val="none" w:sz="0" w:space="0" w:color="auto"/>
        <w:bottom w:val="none" w:sz="0" w:space="0" w:color="auto"/>
        <w:right w:val="none" w:sz="0" w:space="0" w:color="auto"/>
      </w:divBdr>
    </w:div>
    <w:div w:id="65693905">
      <w:bodyDiv w:val="1"/>
      <w:marLeft w:val="0"/>
      <w:marRight w:val="0"/>
      <w:marTop w:val="0"/>
      <w:marBottom w:val="0"/>
      <w:divBdr>
        <w:top w:val="none" w:sz="0" w:space="0" w:color="auto"/>
        <w:left w:val="none" w:sz="0" w:space="0" w:color="auto"/>
        <w:bottom w:val="none" w:sz="0" w:space="0" w:color="auto"/>
        <w:right w:val="none" w:sz="0" w:space="0" w:color="auto"/>
      </w:divBdr>
    </w:div>
    <w:div w:id="68162354">
      <w:bodyDiv w:val="1"/>
      <w:marLeft w:val="0"/>
      <w:marRight w:val="0"/>
      <w:marTop w:val="0"/>
      <w:marBottom w:val="0"/>
      <w:divBdr>
        <w:top w:val="none" w:sz="0" w:space="0" w:color="auto"/>
        <w:left w:val="none" w:sz="0" w:space="0" w:color="auto"/>
        <w:bottom w:val="none" w:sz="0" w:space="0" w:color="auto"/>
        <w:right w:val="none" w:sz="0" w:space="0" w:color="auto"/>
      </w:divBdr>
    </w:div>
    <w:div w:id="76292563">
      <w:bodyDiv w:val="1"/>
      <w:marLeft w:val="0"/>
      <w:marRight w:val="0"/>
      <w:marTop w:val="0"/>
      <w:marBottom w:val="0"/>
      <w:divBdr>
        <w:top w:val="none" w:sz="0" w:space="0" w:color="auto"/>
        <w:left w:val="none" w:sz="0" w:space="0" w:color="auto"/>
        <w:bottom w:val="none" w:sz="0" w:space="0" w:color="auto"/>
        <w:right w:val="none" w:sz="0" w:space="0" w:color="auto"/>
      </w:divBdr>
    </w:div>
    <w:div w:id="129203867">
      <w:bodyDiv w:val="1"/>
      <w:marLeft w:val="0"/>
      <w:marRight w:val="0"/>
      <w:marTop w:val="0"/>
      <w:marBottom w:val="0"/>
      <w:divBdr>
        <w:top w:val="none" w:sz="0" w:space="0" w:color="auto"/>
        <w:left w:val="none" w:sz="0" w:space="0" w:color="auto"/>
        <w:bottom w:val="none" w:sz="0" w:space="0" w:color="auto"/>
        <w:right w:val="none" w:sz="0" w:space="0" w:color="auto"/>
      </w:divBdr>
    </w:div>
    <w:div w:id="305164594">
      <w:bodyDiv w:val="1"/>
      <w:marLeft w:val="0"/>
      <w:marRight w:val="0"/>
      <w:marTop w:val="0"/>
      <w:marBottom w:val="0"/>
      <w:divBdr>
        <w:top w:val="none" w:sz="0" w:space="0" w:color="auto"/>
        <w:left w:val="none" w:sz="0" w:space="0" w:color="auto"/>
        <w:bottom w:val="none" w:sz="0" w:space="0" w:color="auto"/>
        <w:right w:val="none" w:sz="0" w:space="0" w:color="auto"/>
      </w:divBdr>
    </w:div>
    <w:div w:id="308748353">
      <w:bodyDiv w:val="1"/>
      <w:marLeft w:val="0"/>
      <w:marRight w:val="0"/>
      <w:marTop w:val="0"/>
      <w:marBottom w:val="0"/>
      <w:divBdr>
        <w:top w:val="none" w:sz="0" w:space="0" w:color="auto"/>
        <w:left w:val="none" w:sz="0" w:space="0" w:color="auto"/>
        <w:bottom w:val="none" w:sz="0" w:space="0" w:color="auto"/>
        <w:right w:val="none" w:sz="0" w:space="0" w:color="auto"/>
      </w:divBdr>
    </w:div>
    <w:div w:id="314455637">
      <w:bodyDiv w:val="1"/>
      <w:marLeft w:val="0"/>
      <w:marRight w:val="0"/>
      <w:marTop w:val="0"/>
      <w:marBottom w:val="0"/>
      <w:divBdr>
        <w:top w:val="none" w:sz="0" w:space="0" w:color="auto"/>
        <w:left w:val="none" w:sz="0" w:space="0" w:color="auto"/>
        <w:bottom w:val="none" w:sz="0" w:space="0" w:color="auto"/>
        <w:right w:val="none" w:sz="0" w:space="0" w:color="auto"/>
      </w:divBdr>
    </w:div>
    <w:div w:id="348525701">
      <w:bodyDiv w:val="1"/>
      <w:marLeft w:val="0"/>
      <w:marRight w:val="0"/>
      <w:marTop w:val="0"/>
      <w:marBottom w:val="0"/>
      <w:divBdr>
        <w:top w:val="none" w:sz="0" w:space="0" w:color="auto"/>
        <w:left w:val="none" w:sz="0" w:space="0" w:color="auto"/>
        <w:bottom w:val="none" w:sz="0" w:space="0" w:color="auto"/>
        <w:right w:val="none" w:sz="0" w:space="0" w:color="auto"/>
      </w:divBdr>
    </w:div>
    <w:div w:id="367075479">
      <w:bodyDiv w:val="1"/>
      <w:marLeft w:val="0"/>
      <w:marRight w:val="0"/>
      <w:marTop w:val="0"/>
      <w:marBottom w:val="0"/>
      <w:divBdr>
        <w:top w:val="none" w:sz="0" w:space="0" w:color="auto"/>
        <w:left w:val="none" w:sz="0" w:space="0" w:color="auto"/>
        <w:bottom w:val="none" w:sz="0" w:space="0" w:color="auto"/>
        <w:right w:val="none" w:sz="0" w:space="0" w:color="auto"/>
      </w:divBdr>
    </w:div>
    <w:div w:id="389696111">
      <w:bodyDiv w:val="1"/>
      <w:marLeft w:val="0"/>
      <w:marRight w:val="0"/>
      <w:marTop w:val="0"/>
      <w:marBottom w:val="0"/>
      <w:divBdr>
        <w:top w:val="none" w:sz="0" w:space="0" w:color="auto"/>
        <w:left w:val="none" w:sz="0" w:space="0" w:color="auto"/>
        <w:bottom w:val="none" w:sz="0" w:space="0" w:color="auto"/>
        <w:right w:val="none" w:sz="0" w:space="0" w:color="auto"/>
      </w:divBdr>
    </w:div>
    <w:div w:id="452796505">
      <w:bodyDiv w:val="1"/>
      <w:marLeft w:val="0"/>
      <w:marRight w:val="0"/>
      <w:marTop w:val="0"/>
      <w:marBottom w:val="0"/>
      <w:divBdr>
        <w:top w:val="none" w:sz="0" w:space="0" w:color="auto"/>
        <w:left w:val="none" w:sz="0" w:space="0" w:color="auto"/>
        <w:bottom w:val="none" w:sz="0" w:space="0" w:color="auto"/>
        <w:right w:val="none" w:sz="0" w:space="0" w:color="auto"/>
      </w:divBdr>
    </w:div>
    <w:div w:id="611592915">
      <w:bodyDiv w:val="1"/>
      <w:marLeft w:val="0"/>
      <w:marRight w:val="0"/>
      <w:marTop w:val="0"/>
      <w:marBottom w:val="0"/>
      <w:divBdr>
        <w:top w:val="none" w:sz="0" w:space="0" w:color="auto"/>
        <w:left w:val="none" w:sz="0" w:space="0" w:color="auto"/>
        <w:bottom w:val="none" w:sz="0" w:space="0" w:color="auto"/>
        <w:right w:val="none" w:sz="0" w:space="0" w:color="auto"/>
      </w:divBdr>
    </w:div>
    <w:div w:id="686833787">
      <w:bodyDiv w:val="1"/>
      <w:marLeft w:val="0"/>
      <w:marRight w:val="0"/>
      <w:marTop w:val="0"/>
      <w:marBottom w:val="0"/>
      <w:divBdr>
        <w:top w:val="none" w:sz="0" w:space="0" w:color="auto"/>
        <w:left w:val="none" w:sz="0" w:space="0" w:color="auto"/>
        <w:bottom w:val="none" w:sz="0" w:space="0" w:color="auto"/>
        <w:right w:val="none" w:sz="0" w:space="0" w:color="auto"/>
      </w:divBdr>
    </w:div>
    <w:div w:id="704258215">
      <w:bodyDiv w:val="1"/>
      <w:marLeft w:val="0"/>
      <w:marRight w:val="0"/>
      <w:marTop w:val="0"/>
      <w:marBottom w:val="0"/>
      <w:divBdr>
        <w:top w:val="none" w:sz="0" w:space="0" w:color="auto"/>
        <w:left w:val="none" w:sz="0" w:space="0" w:color="auto"/>
        <w:bottom w:val="none" w:sz="0" w:space="0" w:color="auto"/>
        <w:right w:val="none" w:sz="0" w:space="0" w:color="auto"/>
      </w:divBdr>
    </w:div>
    <w:div w:id="717820086">
      <w:bodyDiv w:val="1"/>
      <w:marLeft w:val="0"/>
      <w:marRight w:val="0"/>
      <w:marTop w:val="0"/>
      <w:marBottom w:val="0"/>
      <w:divBdr>
        <w:top w:val="none" w:sz="0" w:space="0" w:color="auto"/>
        <w:left w:val="none" w:sz="0" w:space="0" w:color="auto"/>
        <w:bottom w:val="none" w:sz="0" w:space="0" w:color="auto"/>
        <w:right w:val="none" w:sz="0" w:space="0" w:color="auto"/>
      </w:divBdr>
    </w:div>
    <w:div w:id="834995495">
      <w:bodyDiv w:val="1"/>
      <w:marLeft w:val="0"/>
      <w:marRight w:val="0"/>
      <w:marTop w:val="0"/>
      <w:marBottom w:val="0"/>
      <w:divBdr>
        <w:top w:val="none" w:sz="0" w:space="0" w:color="auto"/>
        <w:left w:val="none" w:sz="0" w:space="0" w:color="auto"/>
        <w:bottom w:val="none" w:sz="0" w:space="0" w:color="auto"/>
        <w:right w:val="none" w:sz="0" w:space="0" w:color="auto"/>
      </w:divBdr>
    </w:div>
    <w:div w:id="842671732">
      <w:bodyDiv w:val="1"/>
      <w:marLeft w:val="0"/>
      <w:marRight w:val="0"/>
      <w:marTop w:val="0"/>
      <w:marBottom w:val="0"/>
      <w:divBdr>
        <w:top w:val="none" w:sz="0" w:space="0" w:color="auto"/>
        <w:left w:val="none" w:sz="0" w:space="0" w:color="auto"/>
        <w:bottom w:val="none" w:sz="0" w:space="0" w:color="auto"/>
        <w:right w:val="none" w:sz="0" w:space="0" w:color="auto"/>
      </w:divBdr>
    </w:div>
    <w:div w:id="901208661">
      <w:bodyDiv w:val="1"/>
      <w:marLeft w:val="0"/>
      <w:marRight w:val="0"/>
      <w:marTop w:val="0"/>
      <w:marBottom w:val="0"/>
      <w:divBdr>
        <w:top w:val="none" w:sz="0" w:space="0" w:color="auto"/>
        <w:left w:val="none" w:sz="0" w:space="0" w:color="auto"/>
        <w:bottom w:val="none" w:sz="0" w:space="0" w:color="auto"/>
        <w:right w:val="none" w:sz="0" w:space="0" w:color="auto"/>
      </w:divBdr>
    </w:div>
    <w:div w:id="946276466">
      <w:bodyDiv w:val="1"/>
      <w:marLeft w:val="0"/>
      <w:marRight w:val="0"/>
      <w:marTop w:val="0"/>
      <w:marBottom w:val="0"/>
      <w:divBdr>
        <w:top w:val="none" w:sz="0" w:space="0" w:color="auto"/>
        <w:left w:val="none" w:sz="0" w:space="0" w:color="auto"/>
        <w:bottom w:val="none" w:sz="0" w:space="0" w:color="auto"/>
        <w:right w:val="none" w:sz="0" w:space="0" w:color="auto"/>
      </w:divBdr>
    </w:div>
    <w:div w:id="978726465">
      <w:bodyDiv w:val="1"/>
      <w:marLeft w:val="0"/>
      <w:marRight w:val="0"/>
      <w:marTop w:val="0"/>
      <w:marBottom w:val="0"/>
      <w:divBdr>
        <w:top w:val="none" w:sz="0" w:space="0" w:color="auto"/>
        <w:left w:val="none" w:sz="0" w:space="0" w:color="auto"/>
        <w:bottom w:val="none" w:sz="0" w:space="0" w:color="auto"/>
        <w:right w:val="none" w:sz="0" w:space="0" w:color="auto"/>
      </w:divBdr>
    </w:div>
    <w:div w:id="1113746523">
      <w:bodyDiv w:val="1"/>
      <w:marLeft w:val="0"/>
      <w:marRight w:val="0"/>
      <w:marTop w:val="0"/>
      <w:marBottom w:val="0"/>
      <w:divBdr>
        <w:top w:val="none" w:sz="0" w:space="0" w:color="auto"/>
        <w:left w:val="none" w:sz="0" w:space="0" w:color="auto"/>
        <w:bottom w:val="none" w:sz="0" w:space="0" w:color="auto"/>
        <w:right w:val="none" w:sz="0" w:space="0" w:color="auto"/>
      </w:divBdr>
    </w:div>
    <w:div w:id="1147235572">
      <w:bodyDiv w:val="1"/>
      <w:marLeft w:val="0"/>
      <w:marRight w:val="0"/>
      <w:marTop w:val="0"/>
      <w:marBottom w:val="0"/>
      <w:divBdr>
        <w:top w:val="none" w:sz="0" w:space="0" w:color="auto"/>
        <w:left w:val="none" w:sz="0" w:space="0" w:color="auto"/>
        <w:bottom w:val="none" w:sz="0" w:space="0" w:color="auto"/>
        <w:right w:val="none" w:sz="0" w:space="0" w:color="auto"/>
      </w:divBdr>
    </w:div>
    <w:div w:id="1159888322">
      <w:bodyDiv w:val="1"/>
      <w:marLeft w:val="0"/>
      <w:marRight w:val="0"/>
      <w:marTop w:val="0"/>
      <w:marBottom w:val="0"/>
      <w:divBdr>
        <w:top w:val="none" w:sz="0" w:space="0" w:color="auto"/>
        <w:left w:val="none" w:sz="0" w:space="0" w:color="auto"/>
        <w:bottom w:val="none" w:sz="0" w:space="0" w:color="auto"/>
        <w:right w:val="none" w:sz="0" w:space="0" w:color="auto"/>
      </w:divBdr>
    </w:div>
    <w:div w:id="1177379552">
      <w:bodyDiv w:val="1"/>
      <w:marLeft w:val="0"/>
      <w:marRight w:val="0"/>
      <w:marTop w:val="0"/>
      <w:marBottom w:val="0"/>
      <w:divBdr>
        <w:top w:val="none" w:sz="0" w:space="0" w:color="auto"/>
        <w:left w:val="none" w:sz="0" w:space="0" w:color="auto"/>
        <w:bottom w:val="none" w:sz="0" w:space="0" w:color="auto"/>
        <w:right w:val="none" w:sz="0" w:space="0" w:color="auto"/>
      </w:divBdr>
    </w:div>
    <w:div w:id="1233731601">
      <w:bodyDiv w:val="1"/>
      <w:marLeft w:val="0"/>
      <w:marRight w:val="0"/>
      <w:marTop w:val="0"/>
      <w:marBottom w:val="0"/>
      <w:divBdr>
        <w:top w:val="none" w:sz="0" w:space="0" w:color="auto"/>
        <w:left w:val="none" w:sz="0" w:space="0" w:color="auto"/>
        <w:bottom w:val="none" w:sz="0" w:space="0" w:color="auto"/>
        <w:right w:val="none" w:sz="0" w:space="0" w:color="auto"/>
      </w:divBdr>
    </w:div>
    <w:div w:id="1239365648">
      <w:bodyDiv w:val="1"/>
      <w:marLeft w:val="0"/>
      <w:marRight w:val="0"/>
      <w:marTop w:val="0"/>
      <w:marBottom w:val="0"/>
      <w:divBdr>
        <w:top w:val="none" w:sz="0" w:space="0" w:color="auto"/>
        <w:left w:val="none" w:sz="0" w:space="0" w:color="auto"/>
        <w:bottom w:val="none" w:sz="0" w:space="0" w:color="auto"/>
        <w:right w:val="none" w:sz="0" w:space="0" w:color="auto"/>
      </w:divBdr>
    </w:div>
    <w:div w:id="1256136377">
      <w:bodyDiv w:val="1"/>
      <w:marLeft w:val="0"/>
      <w:marRight w:val="0"/>
      <w:marTop w:val="0"/>
      <w:marBottom w:val="0"/>
      <w:divBdr>
        <w:top w:val="none" w:sz="0" w:space="0" w:color="auto"/>
        <w:left w:val="none" w:sz="0" w:space="0" w:color="auto"/>
        <w:bottom w:val="none" w:sz="0" w:space="0" w:color="auto"/>
        <w:right w:val="none" w:sz="0" w:space="0" w:color="auto"/>
      </w:divBdr>
    </w:div>
    <w:div w:id="1256406291">
      <w:bodyDiv w:val="1"/>
      <w:marLeft w:val="0"/>
      <w:marRight w:val="0"/>
      <w:marTop w:val="0"/>
      <w:marBottom w:val="0"/>
      <w:divBdr>
        <w:top w:val="none" w:sz="0" w:space="0" w:color="auto"/>
        <w:left w:val="none" w:sz="0" w:space="0" w:color="auto"/>
        <w:bottom w:val="none" w:sz="0" w:space="0" w:color="auto"/>
        <w:right w:val="none" w:sz="0" w:space="0" w:color="auto"/>
      </w:divBdr>
    </w:div>
    <w:div w:id="1286544294">
      <w:bodyDiv w:val="1"/>
      <w:marLeft w:val="0"/>
      <w:marRight w:val="0"/>
      <w:marTop w:val="0"/>
      <w:marBottom w:val="0"/>
      <w:divBdr>
        <w:top w:val="none" w:sz="0" w:space="0" w:color="auto"/>
        <w:left w:val="none" w:sz="0" w:space="0" w:color="auto"/>
        <w:bottom w:val="none" w:sz="0" w:space="0" w:color="auto"/>
        <w:right w:val="none" w:sz="0" w:space="0" w:color="auto"/>
      </w:divBdr>
    </w:div>
    <w:div w:id="1311789888">
      <w:bodyDiv w:val="1"/>
      <w:marLeft w:val="0"/>
      <w:marRight w:val="0"/>
      <w:marTop w:val="0"/>
      <w:marBottom w:val="0"/>
      <w:divBdr>
        <w:top w:val="none" w:sz="0" w:space="0" w:color="auto"/>
        <w:left w:val="none" w:sz="0" w:space="0" w:color="auto"/>
        <w:bottom w:val="none" w:sz="0" w:space="0" w:color="auto"/>
        <w:right w:val="none" w:sz="0" w:space="0" w:color="auto"/>
      </w:divBdr>
    </w:div>
    <w:div w:id="1366297538">
      <w:bodyDiv w:val="1"/>
      <w:marLeft w:val="0"/>
      <w:marRight w:val="0"/>
      <w:marTop w:val="0"/>
      <w:marBottom w:val="0"/>
      <w:divBdr>
        <w:top w:val="none" w:sz="0" w:space="0" w:color="auto"/>
        <w:left w:val="none" w:sz="0" w:space="0" w:color="auto"/>
        <w:bottom w:val="none" w:sz="0" w:space="0" w:color="auto"/>
        <w:right w:val="none" w:sz="0" w:space="0" w:color="auto"/>
      </w:divBdr>
    </w:div>
    <w:div w:id="1421439966">
      <w:bodyDiv w:val="1"/>
      <w:marLeft w:val="0"/>
      <w:marRight w:val="0"/>
      <w:marTop w:val="0"/>
      <w:marBottom w:val="0"/>
      <w:divBdr>
        <w:top w:val="none" w:sz="0" w:space="0" w:color="auto"/>
        <w:left w:val="none" w:sz="0" w:space="0" w:color="auto"/>
        <w:bottom w:val="none" w:sz="0" w:space="0" w:color="auto"/>
        <w:right w:val="none" w:sz="0" w:space="0" w:color="auto"/>
      </w:divBdr>
    </w:div>
    <w:div w:id="1456950329">
      <w:bodyDiv w:val="1"/>
      <w:marLeft w:val="0"/>
      <w:marRight w:val="0"/>
      <w:marTop w:val="0"/>
      <w:marBottom w:val="0"/>
      <w:divBdr>
        <w:top w:val="none" w:sz="0" w:space="0" w:color="auto"/>
        <w:left w:val="none" w:sz="0" w:space="0" w:color="auto"/>
        <w:bottom w:val="none" w:sz="0" w:space="0" w:color="auto"/>
        <w:right w:val="none" w:sz="0" w:space="0" w:color="auto"/>
      </w:divBdr>
    </w:div>
    <w:div w:id="1488279439">
      <w:bodyDiv w:val="1"/>
      <w:marLeft w:val="0"/>
      <w:marRight w:val="0"/>
      <w:marTop w:val="0"/>
      <w:marBottom w:val="0"/>
      <w:divBdr>
        <w:top w:val="none" w:sz="0" w:space="0" w:color="auto"/>
        <w:left w:val="none" w:sz="0" w:space="0" w:color="auto"/>
        <w:bottom w:val="none" w:sz="0" w:space="0" w:color="auto"/>
        <w:right w:val="none" w:sz="0" w:space="0" w:color="auto"/>
      </w:divBdr>
    </w:div>
    <w:div w:id="1579943109">
      <w:bodyDiv w:val="1"/>
      <w:marLeft w:val="0"/>
      <w:marRight w:val="0"/>
      <w:marTop w:val="0"/>
      <w:marBottom w:val="0"/>
      <w:divBdr>
        <w:top w:val="none" w:sz="0" w:space="0" w:color="auto"/>
        <w:left w:val="none" w:sz="0" w:space="0" w:color="auto"/>
        <w:bottom w:val="none" w:sz="0" w:space="0" w:color="auto"/>
        <w:right w:val="none" w:sz="0" w:space="0" w:color="auto"/>
      </w:divBdr>
    </w:div>
    <w:div w:id="1595358423">
      <w:bodyDiv w:val="1"/>
      <w:marLeft w:val="0"/>
      <w:marRight w:val="0"/>
      <w:marTop w:val="0"/>
      <w:marBottom w:val="0"/>
      <w:divBdr>
        <w:top w:val="none" w:sz="0" w:space="0" w:color="auto"/>
        <w:left w:val="none" w:sz="0" w:space="0" w:color="auto"/>
        <w:bottom w:val="none" w:sz="0" w:space="0" w:color="auto"/>
        <w:right w:val="none" w:sz="0" w:space="0" w:color="auto"/>
      </w:divBdr>
    </w:div>
    <w:div w:id="1728675512">
      <w:bodyDiv w:val="1"/>
      <w:marLeft w:val="0"/>
      <w:marRight w:val="0"/>
      <w:marTop w:val="0"/>
      <w:marBottom w:val="0"/>
      <w:divBdr>
        <w:top w:val="none" w:sz="0" w:space="0" w:color="auto"/>
        <w:left w:val="none" w:sz="0" w:space="0" w:color="auto"/>
        <w:bottom w:val="none" w:sz="0" w:space="0" w:color="auto"/>
        <w:right w:val="none" w:sz="0" w:space="0" w:color="auto"/>
      </w:divBdr>
    </w:div>
    <w:div w:id="1756197213">
      <w:bodyDiv w:val="1"/>
      <w:marLeft w:val="0"/>
      <w:marRight w:val="0"/>
      <w:marTop w:val="0"/>
      <w:marBottom w:val="0"/>
      <w:divBdr>
        <w:top w:val="none" w:sz="0" w:space="0" w:color="auto"/>
        <w:left w:val="none" w:sz="0" w:space="0" w:color="auto"/>
        <w:bottom w:val="none" w:sz="0" w:space="0" w:color="auto"/>
        <w:right w:val="none" w:sz="0" w:space="0" w:color="auto"/>
      </w:divBdr>
    </w:div>
    <w:div w:id="1767458639">
      <w:bodyDiv w:val="1"/>
      <w:marLeft w:val="0"/>
      <w:marRight w:val="0"/>
      <w:marTop w:val="0"/>
      <w:marBottom w:val="0"/>
      <w:divBdr>
        <w:top w:val="none" w:sz="0" w:space="0" w:color="auto"/>
        <w:left w:val="none" w:sz="0" w:space="0" w:color="auto"/>
        <w:bottom w:val="none" w:sz="0" w:space="0" w:color="auto"/>
        <w:right w:val="none" w:sz="0" w:space="0" w:color="auto"/>
      </w:divBdr>
    </w:div>
    <w:div w:id="1781683673">
      <w:bodyDiv w:val="1"/>
      <w:marLeft w:val="0"/>
      <w:marRight w:val="0"/>
      <w:marTop w:val="0"/>
      <w:marBottom w:val="0"/>
      <w:divBdr>
        <w:top w:val="none" w:sz="0" w:space="0" w:color="auto"/>
        <w:left w:val="none" w:sz="0" w:space="0" w:color="auto"/>
        <w:bottom w:val="none" w:sz="0" w:space="0" w:color="auto"/>
        <w:right w:val="none" w:sz="0" w:space="0" w:color="auto"/>
      </w:divBdr>
    </w:div>
    <w:div w:id="1887180600">
      <w:bodyDiv w:val="1"/>
      <w:marLeft w:val="0"/>
      <w:marRight w:val="0"/>
      <w:marTop w:val="0"/>
      <w:marBottom w:val="0"/>
      <w:divBdr>
        <w:top w:val="none" w:sz="0" w:space="0" w:color="auto"/>
        <w:left w:val="none" w:sz="0" w:space="0" w:color="auto"/>
        <w:bottom w:val="none" w:sz="0" w:space="0" w:color="auto"/>
        <w:right w:val="none" w:sz="0" w:space="0" w:color="auto"/>
      </w:divBdr>
    </w:div>
    <w:div w:id="1899440621">
      <w:bodyDiv w:val="1"/>
      <w:marLeft w:val="0"/>
      <w:marRight w:val="0"/>
      <w:marTop w:val="0"/>
      <w:marBottom w:val="0"/>
      <w:divBdr>
        <w:top w:val="none" w:sz="0" w:space="0" w:color="auto"/>
        <w:left w:val="none" w:sz="0" w:space="0" w:color="auto"/>
        <w:bottom w:val="none" w:sz="0" w:space="0" w:color="auto"/>
        <w:right w:val="none" w:sz="0" w:space="0" w:color="auto"/>
      </w:divBdr>
    </w:div>
    <w:div w:id="1939562040">
      <w:bodyDiv w:val="1"/>
      <w:marLeft w:val="0"/>
      <w:marRight w:val="0"/>
      <w:marTop w:val="0"/>
      <w:marBottom w:val="0"/>
      <w:divBdr>
        <w:top w:val="none" w:sz="0" w:space="0" w:color="auto"/>
        <w:left w:val="none" w:sz="0" w:space="0" w:color="auto"/>
        <w:bottom w:val="none" w:sz="0" w:space="0" w:color="auto"/>
        <w:right w:val="none" w:sz="0" w:space="0" w:color="auto"/>
      </w:divBdr>
    </w:div>
    <w:div w:id="2041200558">
      <w:bodyDiv w:val="1"/>
      <w:marLeft w:val="0"/>
      <w:marRight w:val="0"/>
      <w:marTop w:val="0"/>
      <w:marBottom w:val="0"/>
      <w:divBdr>
        <w:top w:val="none" w:sz="0" w:space="0" w:color="auto"/>
        <w:left w:val="none" w:sz="0" w:space="0" w:color="auto"/>
        <w:bottom w:val="none" w:sz="0" w:space="0" w:color="auto"/>
        <w:right w:val="none" w:sz="0" w:space="0" w:color="auto"/>
      </w:divBdr>
    </w:div>
    <w:div w:id="2069180457">
      <w:bodyDiv w:val="1"/>
      <w:marLeft w:val="0"/>
      <w:marRight w:val="0"/>
      <w:marTop w:val="0"/>
      <w:marBottom w:val="0"/>
      <w:divBdr>
        <w:top w:val="none" w:sz="0" w:space="0" w:color="auto"/>
        <w:left w:val="none" w:sz="0" w:space="0" w:color="auto"/>
        <w:bottom w:val="none" w:sz="0" w:space="0" w:color="auto"/>
        <w:right w:val="none" w:sz="0" w:space="0" w:color="auto"/>
      </w:divBdr>
    </w:div>
    <w:div w:id="2115783601">
      <w:bodyDiv w:val="1"/>
      <w:marLeft w:val="0"/>
      <w:marRight w:val="0"/>
      <w:marTop w:val="0"/>
      <w:marBottom w:val="0"/>
      <w:divBdr>
        <w:top w:val="none" w:sz="0" w:space="0" w:color="auto"/>
        <w:left w:val="none" w:sz="0" w:space="0" w:color="auto"/>
        <w:bottom w:val="none" w:sz="0" w:space="0" w:color="auto"/>
        <w:right w:val="none" w:sz="0" w:space="0" w:color="auto"/>
      </w:divBdr>
    </w:div>
    <w:div w:id="2146657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wibowo@ppns.ac.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Ame08</b:Tag>
    <b:SourceType>Book</b:SourceType>
    <b:Guid>{4C7421D5-59E5-40DD-8063-AAC3E4834918}</b:Guid>
    <b:Title>Welding Inspection Technology Fifth Edition</b:Title>
    <b:Year>2008</b:Year>
    <b:Author>
      <b:Author>
        <b:NameList>
          <b:Person>
            <b:Last>AWS</b:Last>
          </b:Person>
        </b:NameList>
      </b:Author>
    </b:Author>
    <b:City>Miami</b:City>
    <b:Publisher>American Welding Society</b:Publisher>
    <b:RefOrder>4</b:RefOrder>
  </b:Source>
  <b:Source>
    <b:Tag>AWS20</b:Tag>
    <b:SourceType>Book</b:SourceType>
    <b:Guid>{FF3274F5-6C20-4653-863D-50A64F964A63}</b:Guid>
    <b:Author>
      <b:Author>
        <b:NameList>
          <b:Person>
            <b:Last>AWS</b:Last>
          </b:Person>
        </b:NameList>
      </b:Author>
    </b:Author>
    <b:Title>Welding Inspection Technology Sixth Edition</b:Title>
    <b:Year>2020</b:Year>
    <b:City>Miami</b:City>
    <b:Publisher>American Welding Society</b:Publisher>
    <b:RefOrder>7</b:RefOrder>
  </b:Source>
  <b:Source>
    <b:Tag>Placeholder1</b:Tag>
    <b:SourceType>Book</b:SourceType>
    <b:Guid>{280754E9-F664-41C5-827D-76A746B9CA62}</b:Guid>
    <b:Author>
      <b:Author>
        <b:NameList>
          <b:Person>
            <b:Last>CSWIP</b:Last>
          </b:Person>
        </b:NameList>
      </b:Author>
    </b:Author>
    <b:Title>Requirements for the Certification of Visual Welding Inspectors Welding Inspectors and Senior Welding Inspectors (fusion welding) in accordance with the requirements of BS EN ISO 17637</b:Title>
    <b:Year>2024</b:Year>
    <b:City>Cambridge</b:City>
    <b:Publisher>CSWIP</b:Publisher>
    <b:RefOrder>6</b:RefOrder>
  </b:Source>
  <b:Source>
    <b:Tag>Ari17</b:Tag>
    <b:SourceType>JournalArticle</b:SourceType>
    <b:Guid>{BDDD7BB2-E725-4ED1-B228-61148F68AA75}</b:Guid>
    <b:Title>Teknologi Pengelasan Sebagai Moderasi Regulasi Pemerintah Dan Karakteristik Pekerja Terhadap Daya Saing Tenaga Kerja</b:Title>
    <b:Year>2017</b:Year>
    <b:Author>
      <b:Author>
        <b:NameList>
          <b:Person>
            <b:Last>Aris</b:Last>
            <b:First>A.</b:First>
            <b:Middle>A.</b:Middle>
          </b:Person>
        </b:NameList>
      </b:Author>
    </b:Author>
    <b:JournalName>AKMEN Jurnal Ilmiah, 14(2)</b:JournalName>
    <b:Pages>275-285</b:Pages>
    <b:RefOrder>5</b:RefOrder>
  </b:Source>
  <b:Source>
    <b:Tag>Cha22</b:Tag>
    <b:SourceType>JournalArticle</b:SourceType>
    <b:Guid>{824242BD-EA98-4567-982A-0AC0DE958D43}</b:Guid>
    <b:Author>
      <b:Author>
        <b:NameList>
          <b:Person>
            <b:Last>Chakradhar</b:Last>
            <b:First>R.,</b:First>
            <b:Middle>Ortega-Moody, J., Jenab, K., &amp; Moslehpou, S.</b:Middle>
          </b:Person>
        </b:NameList>
      </b:Author>
    </b:Author>
    <b:Title>Improving the quality of welding training with the help of mixed reality along with the cost reduction and enhancing safety</b:Title>
    <b:JournalName>Management Science Letters, 12(4)</b:JournalName>
    <b:Year>2022</b:Year>
    <b:Pages>321-330</b:Pages>
    <b:RefOrder>3</b:RefOrder>
  </b:Source>
  <b:Source>
    <b:Tag>Har15</b:Tag>
    <b:SourceType>JournalArticle</b:SourceType>
    <b:Guid>{5D627215-2B2D-4702-AE9C-6B3891395FDB}</b:Guid>
    <b:Title>Student Welding Skill Competition Development Model with KKNI and Competency Certification Approach in Vocational School</b:Title>
    <b:JournalName>Mechanical Engineering Education Department, Faculty of Engineering Yogyakakarta State University</b:JournalName>
    <b:Year>2015</b:Year>
    <b:Pages>112 - 121</b:Pages>
    <b:Author>
      <b:Author>
        <b:NameList>
          <b:Person>
            <b:Last>Hargiyarto</b:Last>
            <b:First>P.,</b:First>
            <b:Middle>Djatmiko, R. D., &amp; Marwanto, A.</b:Middle>
          </b:Person>
        </b:NameList>
      </b:Author>
    </b:Author>
    <b:RefOrder>2</b:RefOrder>
  </b:Source>
  <b:Source>
    <b:Tag>Zha20</b:Tag>
    <b:SourceType>JournalArticle</b:SourceType>
    <b:Guid>{A138F4FD-A36B-4EFB-AF20-50009DA6D183}</b:Guid>
    <b:Title>Advanced Welding Manufacturing: A Brief Analysis and Review of Challenges and Solutions</b:Title>
    <b:JournalName>ASME. J. Manuf. Sci. Eng. November 2020; 142(11)</b:JournalName>
    <b:Year>2020</b:Year>
    <b:Pages>110816</b:Pages>
    <b:Author>
      <b:Author>
        <b:NameList>
          <b:Person>
            <b:Last>Zhang</b:Last>
            <b:First>Y.</b:First>
            <b:Middle>M., Yang, Y., Zhang, W., &amp; Na, S.</b:Middle>
          </b:Person>
        </b:NameList>
      </b:Author>
    </b:Author>
    <b:RefOrder>1</b:RefOrder>
  </b:Source>
  <b:Source>
    <b:Tag>Par88</b:Tag>
    <b:SourceType>JournalArticle</b:SourceType>
    <b:Guid>{4B5527A7-4503-4E90-97E8-83719C164D30}</b:Guid>
    <b:Title>SERVQUAL: A Multiple-Item Scale for Measuring Consumer Perceptions of Service Quality</b:Title>
    <b:JournalName>Journal of Retailing, 64(1)</b:JournalName>
    <b:Year>1988</b:Year>
    <b:Pages>12-40</b:Pages>
    <b:Author>
      <b:Author>
        <b:NameList>
          <b:Person>
            <b:Last>Parasuraman</b:Last>
            <b:First>A.</b:First>
          </b:Person>
          <b:Person>
            <b:Last>Zeithaml</b:Last>
            <b:Middle>A.</b:Middle>
            <b:First>V.</b:First>
          </b:Person>
          <b:Person>
            <b:Last>Berry</b:Last>
            <b:Middle>L.</b:Middle>
            <b:First>L.</b:First>
          </b:Person>
        </b:NameList>
      </b:Author>
    </b:Author>
    <b:RefOrder>8</b:RefOrder>
  </b:Source>
  <b:Source>
    <b:Tag>Mar77</b:Tag>
    <b:SourceType>JournalArticle</b:SourceType>
    <b:Guid>{58D51A8F-0925-482F-8F9E-5D236657AA33}</b:Guid>
    <b:Title>Importance–Performance Analysis</b:Title>
    <b:JournalName>Journal of Marketing, 41(1)</b:JournalName>
    <b:Year>1977</b:Year>
    <b:Pages>77-79</b:Pages>
    <b:Author>
      <b:Author>
        <b:NameList>
          <b:Person>
            <b:Last>Martilla</b:Last>
            <b:Middle>A.</b:Middle>
            <b:First>J.</b:First>
          </b:Person>
          <b:Person>
            <b:Last>James</b:Last>
            <b:Middle>C.</b:Middle>
            <b:First>J.</b:First>
          </b:Person>
        </b:NameList>
      </b:Author>
    </b:Author>
    <b:RefOrder>9</b:RefOrder>
  </b:Source>
  <b:Source>
    <b:Tag>Wid24</b:Tag>
    <b:SourceType>JournalArticle</b:SourceType>
    <b:Guid>{71DC1CDF-2F63-43DC-AE4D-9B9E0AAB5460}</b:Guid>
    <b:Title>Service quality (SERVQUAL) model in private higher education institutions: A bibliometric analysis of past, present, and future prospects</b:Title>
    <b:JournalName>Social Sciences &amp; Humanities Open, 9</b:JournalName>
    <b:Year>2024</b:Year>
    <b:Pages>100805</b:Pages>
    <b:Author>
      <b:Author>
        <b:NameList>
          <b:Person>
            <b:Last>Wider</b:Last>
            <b:First>W.</b:First>
          </b:Person>
          <b:Person>
            <b:Last>Tan</b:Last>
            <b:Middle>P.</b:Middle>
            <b:First>F.</b:First>
          </b:Person>
          <b:Person>
            <b:Last>Tan</b:Last>
            <b:Middle>P.</b:Middle>
            <b:First>Y.</b:First>
          </b:Person>
          <b:Person>
            <b:Last>Lin</b:Last>
            <b:First>J.</b:First>
          </b:Person>
          <b:Person>
            <b:Last>Fauzi</b:Last>
            <b:Middle>A.</b:Middle>
            <b:First>M.</b:First>
          </b:Person>
          <b:Person>
            <b:Last>Wong</b:Last>
            <b:Middle>S.</b:Middle>
            <b:First>L.</b:First>
          </b:Person>
          <b:Person>
            <b:Last>Cloyd</b:Last>
            <b:First>J.</b:First>
          </b:Person>
          <b:Person>
            <b:Last>Tanucan</b:Last>
            <b:First>M.</b:First>
          </b:Person>
          <b:Person>
            <b:Last>Hossain</b:Last>
            <b:Middle>Far Abid</b:Middle>
            <b:First>Syed</b:First>
          </b:Person>
        </b:NameList>
      </b:Author>
    </b:Author>
    <b:RefOrder>10</b:RefOrder>
  </b:Source>
  <b:Source>
    <b:Tag>Sur23</b:Tag>
    <b:SourceType>JournalArticle</b:SourceType>
    <b:Guid>{6D233772-2561-423D-8E0E-C46926B12DF0}</b:Guid>
    <b:Title>Employing Fuzzy-weighted SERVQUAL, Refined-KANO, IPA, and QFD to Assess Service Quality in Vocational Higher Education</b:Title>
    <b:JournalName>Jurnal Kependidikan, 9(1)</b:JournalName>
    <b:Year>2023</b:Year>
    <b:Pages>272–286</b:Pages>
    <b:Author>
      <b:Author>
        <b:NameList>
          <b:Person>
            <b:Last>Surtiningtyas</b:Last>
            <b:Middle>R.</b:Middle>
            <b:First>S.</b:First>
          </b:Person>
          <b:Person>
            <b:Last>Saputra</b:Last>
            <b:Middle>T.</b:Middle>
            <b:First>S.</b:First>
          </b:Person>
        </b:NameList>
      </b:Author>
    </b:Author>
    <b:RefOrder>11</b:RefOrder>
  </b:Source>
  <b:Source>
    <b:Tag>Bar24</b:Tag>
    <b:SourceType>JournalArticle</b:SourceType>
    <b:Guid>{9AF257B0-6BD3-4B85-B40F-445CC9F1DA0C}</b:Guid>
    <b:Title>Service quality in higher education: A literature review</b:Title>
    <b:JournalName>Journal for the Education of Gifted Young Scientists, 12(3)</b:JournalName>
    <b:Year>2024</b:Year>
    <b:Pages>119-135</b:Pages>
    <b:Author>
      <b:Author>
        <b:NameList>
          <b:Person>
            <b:Last>Bartolo</b:Last>
            <b:Middle>P.</b:Middle>
            <b:First>R.</b:First>
          </b:Person>
          <b:Person>
            <b:Last>Tınmaz</b:Last>
            <b:First>H.</b:First>
          </b:Person>
        </b:NameList>
      </b:Author>
    </b:Author>
    <b:RefOrder>12</b:RefOrder>
  </b:Source>
  <b:Source>
    <b:Tag>Rah23</b:Tag>
    <b:SourceType>JournalArticle</b:SourceType>
    <b:Guid>{AB26EFD9-5B73-49D6-AB07-B8690C47A1FC}</b:Guid>
    <b:Title>HEISQUAL–ACSI–IPA–PGCV: Synthesis of Higher Education Service Satisfaction Measurements</b:Title>
    <b:JournalName>Asian Management and Business Review, 3(2)</b:JournalName>
    <b:Year>2023</b:Year>
    <b:Pages>121–137</b:Pages>
    <b:Author>
      <b:Author>
        <b:NameList>
          <b:Person>
            <b:Last>Raharjo</b:Last>
            <b:Middle>H.</b:Middle>
            <b:First>T.</b:First>
          </b:Person>
          <b:Person>
            <b:Last>Mulyono</b:Last>
            <b:Middle>B.</b:Middle>
            <b:First>K.</b:First>
          </b:Person>
          <b:Person>
            <b:Last>Ismiyati</b:Last>
          </b:Person>
          <b:Person>
            <b:Last>Jaenudin</b:Last>
            <b:First>A.</b:First>
          </b:Person>
        </b:NameList>
      </b:Author>
    </b:Author>
    <b:RefOrder>13</b:RefOrder>
  </b:Source>
  <b:Source>
    <b:Tag>Dzi24</b:Tag>
    <b:SourceType>JournalArticle</b:SourceType>
    <b:Guid>{8E829521-A7FF-47D6-A76C-608D15987528}</b:Guid>
    <b:Title>Analysis of Student Satisfaction with Services Using the Service Quality (ServQual) Method</b:Title>
    <b:JournalName>Jusikom : Jurnal Sistem Informasi Ilmu Komputer, 8(1)</b:JournalName>
    <b:Year>2024</b:Year>
    <b:Pages>330–345</b:Pages>
    <b:Author>
      <b:Author>
        <b:NameList>
          <b:Person>
            <b:Last>Dzikri</b:Last>
            <b:First>M.</b:First>
          </b:Person>
          <b:Person>
            <b:Last>Napitupulu</b:Last>
            <b:Middle>S.</b:Middle>
            <b:First>L.</b:First>
          </b:Person>
          <b:Person>
            <b:Last>Nasution</b:Last>
            <b:First>D.</b:First>
          </b:Person>
        </b:NameList>
      </b:Author>
    </b:Author>
    <b:RefOrder>14</b:RefOrder>
  </b:Source>
  <b:Source>
    <b:Tag>Ahm23</b:Tag>
    <b:SourceType>JournalArticle</b:SourceType>
    <b:Guid>{B7D2EB69-EAB8-434D-8EB3-3963A9D4C937}</b:Guid>
    <b:Title>Analysis of Service Quality Measurement at Vocational Higher Education with the Higher Education Performance Method (HEdPERF) and Importance Performance Analysis (IPA)</b:Title>
    <b:JournalName>IJIEM - Indonesian Journal of Industrial Engineering and Management, 4(2)</b:JournalName>
    <b:Year>2023</b:Year>
    <b:Pages>184–197</b:Pages>
    <b:Author>
      <b:Author>
        <b:NameList>
          <b:Person>
            <b:Last>Ahmad</b:Last>
            <b:Middle>L.</b:Middle>
            <b:First>T.</b:First>
          </b:Person>
          <b:Person>
            <b:Last>Wardhani</b:Last>
            <b:Middle>A.</b:Middle>
            <b:First>S.</b:First>
          </b:Person>
        </b:NameList>
      </b:Author>
    </b:Author>
    <b:RefOrder>15</b:RefOrder>
  </b:Source>
</b:Sources>
</file>

<file path=customXml/itemProps1.xml><?xml version="1.0" encoding="utf-8"?>
<ds:datastoreItem xmlns:ds="http://schemas.openxmlformats.org/officeDocument/2006/customXml" ds:itemID="{D7D75F5F-FC9A-4FE2-A5EB-77D8B634B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7026</Words>
  <Characters>40049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Anda Iviana</dc:creator>
  <cp:lastModifiedBy>reviewer</cp:lastModifiedBy>
  <cp:revision>3</cp:revision>
  <dcterms:created xsi:type="dcterms:W3CDTF">2026-08-25T07:16:00Z</dcterms:created>
  <dcterms:modified xsi:type="dcterms:W3CDTF">2026-08-25T07:20:00Z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2024-02-18T03:11:00Z</dcterms:created>
  <dc:creator>Novi Eka Mayangsari</dc:creator>
  <dc:description/>
  <dc:language>en-ID</dc:language>
  <cp:lastModifiedBy/>
  <dcterms:modified xsi:type="dcterms:W3CDTF">2024-02-19T11:35:31Z</dcterms:modified>
  <cp:revision>14</cp:revision>
  <dc:subject/>
  <dc:title/>
</cp:coreProperties>
</file>